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8" w:rsidRPr="00BD5EC4" w:rsidRDefault="002434CC" w:rsidP="002434CC">
      <w:pPr>
        <w:rPr>
          <w:noProof/>
          <w:lang w:eastAsia="fr-FR"/>
        </w:rPr>
      </w:pPr>
      <w:r w:rsidRPr="00BD5E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0BB7B" wp14:editId="16851343">
                <wp:simplePos x="0" y="0"/>
                <wp:positionH relativeFrom="column">
                  <wp:posOffset>1444041</wp:posOffset>
                </wp:positionH>
                <wp:positionV relativeFrom="paragraph">
                  <wp:posOffset>892</wp:posOffset>
                </wp:positionV>
                <wp:extent cx="5575300" cy="746554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746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422" w:rsidRDefault="003F1422" w:rsidP="002434CC">
                            <w:pPr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E2E4F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Notice contributions formation professionnelle</w:t>
                            </w:r>
                          </w:p>
                          <w:p w:rsidR="003F1422" w:rsidRPr="002106D3" w:rsidRDefault="003F1422" w:rsidP="002434CC">
                            <w:pPr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06D3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Entreprises de 11salariés et plus</w:t>
                            </w:r>
                          </w:p>
                          <w:p w:rsidR="003F1422" w:rsidRPr="002106D3" w:rsidRDefault="003F1422">
                            <w:pPr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106D3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Versement 2</w:t>
                            </w:r>
                            <w:r w:rsidRPr="002106D3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106D3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acompte 2020 – Echéance 31/10/2020</w:t>
                            </w:r>
                          </w:p>
                          <w:p w:rsidR="003F1422" w:rsidRPr="004E2E4F" w:rsidRDefault="003F1422">
                            <w:pPr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3F1422" w:rsidRDefault="003F1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7pt;margin-top:.05pt;width:439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" fillcolor="white [3201]" stroked="f" strokeweight=".5pt">
                <v:textbox>
                  <w:txbxContent>
                    <w:p w:rsidR="003F1422" w:rsidRDefault="003F1422" w:rsidP="002434CC">
                      <w:pPr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4E2E4F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Notice contributions formation professionnelle</w:t>
                      </w:r>
                    </w:p>
                    <w:p w:rsidR="003F1422" w:rsidRPr="002106D3" w:rsidRDefault="003F1422" w:rsidP="002434CC">
                      <w:pPr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2106D3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Entreprises de 11salariés et plus</w:t>
                      </w:r>
                    </w:p>
                    <w:p w:rsidR="003F1422" w:rsidRPr="002106D3" w:rsidRDefault="003F1422">
                      <w:pPr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106D3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Versement 2</w:t>
                      </w:r>
                      <w:r w:rsidRPr="002106D3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2106D3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 xml:space="preserve"> acompte 2020 – Echéance 31/10/2020</w:t>
                      </w:r>
                    </w:p>
                    <w:p w:rsidR="003F1422" w:rsidRPr="004E2E4F" w:rsidRDefault="003F1422">
                      <w:pPr>
                        <w:rPr>
                          <w:b/>
                          <w:i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3F1422" w:rsidRDefault="003F1422"/>
                  </w:txbxContent>
                </v:textbox>
              </v:shape>
            </w:pict>
          </mc:Fallback>
        </mc:AlternateContent>
      </w:r>
      <w:r w:rsidR="005542F8" w:rsidRPr="00BD5EC4">
        <w:rPr>
          <w:noProof/>
          <w:lang w:eastAsia="fr-FR"/>
        </w:rPr>
        <w:drawing>
          <wp:inline distT="0" distB="0" distL="0" distR="0" wp14:anchorId="0A409FF3" wp14:editId="6C44E000">
            <wp:extent cx="1174750" cy="825499"/>
            <wp:effectExtent l="0" t="0" r="6350" b="0"/>
            <wp:docPr id="293" name="Image 3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apture d’écra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75" cy="8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BD" w:rsidRPr="00A7262B" w:rsidRDefault="00814BBD" w:rsidP="003C2937">
      <w:pPr>
        <w:rPr>
          <w:sz w:val="10"/>
          <w:szCs w:val="10"/>
        </w:rPr>
      </w:pPr>
    </w:p>
    <w:p w:rsidR="002425F5" w:rsidRPr="004E2E4F" w:rsidRDefault="002425F5" w:rsidP="00C57890">
      <w:pPr>
        <w:widowControl/>
        <w:shd w:val="clear" w:color="auto" w:fill="D9D9D9" w:themeFill="background1" w:themeFillShade="D9"/>
        <w:adjustRightInd w:val="0"/>
        <w:rPr>
          <w:rFonts w:eastAsiaTheme="minorHAnsi" w:cs="Arial-BoldMT"/>
          <w:b/>
          <w:bCs/>
          <w:color w:val="E36C0A" w:themeColor="accent6" w:themeShade="BF"/>
          <w:sz w:val="24"/>
          <w:szCs w:val="24"/>
        </w:rPr>
      </w:pPr>
      <w:r w:rsidRPr="004E2E4F">
        <w:rPr>
          <w:rFonts w:eastAsiaTheme="minorHAnsi" w:cs="Arial-BoldMT"/>
          <w:b/>
          <w:bCs/>
          <w:color w:val="E36C0A" w:themeColor="accent6" w:themeShade="BF"/>
          <w:sz w:val="24"/>
          <w:szCs w:val="24"/>
        </w:rPr>
        <w:t>Table des matières</w:t>
      </w:r>
    </w:p>
    <w:p w:rsidR="00C27E3D" w:rsidRPr="002463F2" w:rsidRDefault="00C27E3D" w:rsidP="002425F5">
      <w:pPr>
        <w:rPr>
          <w:sz w:val="10"/>
          <w:szCs w:val="10"/>
        </w:rPr>
      </w:pPr>
    </w:p>
    <w:sdt>
      <w:sdtPr>
        <w:rPr>
          <w:rFonts w:ascii="Gill Sans MT" w:eastAsia="Verdana" w:hAnsi="Gill Sans MT" w:cs="Verdana"/>
          <w:b w:val="0"/>
          <w:bCs w:val="0"/>
          <w:color w:val="auto"/>
          <w:sz w:val="2"/>
          <w:szCs w:val="2"/>
          <w:lang w:eastAsia="en-US"/>
        </w:rPr>
        <w:id w:val="485981357"/>
        <w:docPartObj>
          <w:docPartGallery w:val="Table of Contents"/>
          <w:docPartUnique/>
        </w:docPartObj>
      </w:sdtPr>
      <w:sdtEndPr>
        <w:rPr>
          <w:sz w:val="10"/>
          <w:szCs w:val="10"/>
        </w:rPr>
      </w:sdtEndPr>
      <w:sdtContent>
        <w:p w:rsidR="00970874" w:rsidRPr="00970874" w:rsidRDefault="00970874" w:rsidP="00970874">
          <w:pPr>
            <w:pStyle w:val="En-ttedetabledesmatires"/>
            <w:spacing w:before="0"/>
            <w:rPr>
              <w:sz w:val="2"/>
              <w:szCs w:val="2"/>
            </w:rPr>
          </w:pPr>
        </w:p>
        <w:p w:rsidR="006D09C9" w:rsidRDefault="008B3A46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r w:rsidRPr="002F5EF7">
            <w:rPr>
              <w:sz w:val="20"/>
              <w:szCs w:val="20"/>
            </w:rPr>
            <w:fldChar w:fldCharType="begin"/>
          </w:r>
          <w:r w:rsidRPr="002F5EF7">
            <w:rPr>
              <w:sz w:val="20"/>
              <w:szCs w:val="20"/>
            </w:rPr>
            <w:instrText xml:space="preserve"> TOC \o "1-1" \h \z \u </w:instrText>
          </w:r>
          <w:r w:rsidRPr="002F5EF7">
            <w:rPr>
              <w:sz w:val="20"/>
              <w:szCs w:val="20"/>
            </w:rPr>
            <w:fldChar w:fldCharType="separate"/>
          </w:r>
          <w:hyperlink w:anchor="_Toc52213703" w:history="1">
            <w:r w:rsidR="006D09C9" w:rsidRPr="0002748E">
              <w:rPr>
                <w:rStyle w:val="Lienhypertexte"/>
                <w:noProof/>
              </w:rPr>
              <w:t>1 – Rappel des échéances de versement des contributions formation au titre de 2020</w:t>
            </w:r>
            <w:r w:rsidR="006D09C9">
              <w:rPr>
                <w:noProof/>
                <w:webHidden/>
              </w:rPr>
              <w:tab/>
            </w:r>
            <w:r w:rsidR="006D09C9">
              <w:rPr>
                <w:noProof/>
                <w:webHidden/>
              </w:rPr>
              <w:fldChar w:fldCharType="begin"/>
            </w:r>
            <w:r w:rsidR="006D09C9">
              <w:rPr>
                <w:noProof/>
                <w:webHidden/>
              </w:rPr>
              <w:instrText xml:space="preserve"> PAGEREF _Toc52213703 \h </w:instrText>
            </w:r>
            <w:r w:rsidR="006D09C9">
              <w:rPr>
                <w:noProof/>
                <w:webHidden/>
              </w:rPr>
            </w:r>
            <w:r w:rsidR="006D09C9">
              <w:rPr>
                <w:noProof/>
                <w:webHidden/>
              </w:rPr>
              <w:fldChar w:fldCharType="separate"/>
            </w:r>
            <w:r w:rsidR="006D09C9">
              <w:rPr>
                <w:noProof/>
                <w:webHidden/>
              </w:rPr>
              <w:t>1</w:t>
            </w:r>
            <w:r w:rsidR="006D09C9">
              <w:rPr>
                <w:noProof/>
                <w:webHidden/>
              </w:rPr>
              <w:fldChar w:fldCharType="end"/>
            </w:r>
          </w:hyperlink>
        </w:p>
        <w:p w:rsidR="006D09C9" w:rsidRDefault="00322075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52213704" w:history="1">
            <w:r w:rsidR="006D09C9" w:rsidRPr="0002748E">
              <w:rPr>
                <w:rStyle w:val="Lienhypertexte"/>
                <w:noProof/>
              </w:rPr>
              <w:t>2 – Les montants à verser lors du second acompte au titre de 2020</w:t>
            </w:r>
            <w:r w:rsidR="006D09C9">
              <w:rPr>
                <w:noProof/>
                <w:webHidden/>
              </w:rPr>
              <w:tab/>
            </w:r>
            <w:r w:rsidR="006D09C9">
              <w:rPr>
                <w:noProof/>
                <w:webHidden/>
              </w:rPr>
              <w:fldChar w:fldCharType="begin"/>
            </w:r>
            <w:r w:rsidR="006D09C9">
              <w:rPr>
                <w:noProof/>
                <w:webHidden/>
              </w:rPr>
              <w:instrText xml:space="preserve"> PAGEREF _Toc52213704 \h </w:instrText>
            </w:r>
            <w:r w:rsidR="006D09C9">
              <w:rPr>
                <w:noProof/>
                <w:webHidden/>
              </w:rPr>
            </w:r>
            <w:r w:rsidR="006D09C9">
              <w:rPr>
                <w:noProof/>
                <w:webHidden/>
              </w:rPr>
              <w:fldChar w:fldCharType="separate"/>
            </w:r>
            <w:r w:rsidR="006D09C9">
              <w:rPr>
                <w:noProof/>
                <w:webHidden/>
              </w:rPr>
              <w:t>1</w:t>
            </w:r>
            <w:r w:rsidR="006D09C9">
              <w:rPr>
                <w:noProof/>
                <w:webHidden/>
              </w:rPr>
              <w:fldChar w:fldCharType="end"/>
            </w:r>
          </w:hyperlink>
        </w:p>
        <w:p w:rsidR="006D09C9" w:rsidRDefault="00322075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52213705" w:history="1">
            <w:r w:rsidR="006D09C9" w:rsidRPr="0002748E">
              <w:rPr>
                <w:rStyle w:val="Lienhypertexte"/>
                <w:noProof/>
              </w:rPr>
              <w:t>3 – Rappel sur l’assujettissement à la taxe d’apprentissage</w:t>
            </w:r>
            <w:r w:rsidR="006D09C9">
              <w:rPr>
                <w:noProof/>
                <w:webHidden/>
              </w:rPr>
              <w:tab/>
            </w:r>
            <w:r w:rsidR="006D09C9">
              <w:rPr>
                <w:noProof/>
                <w:webHidden/>
              </w:rPr>
              <w:fldChar w:fldCharType="begin"/>
            </w:r>
            <w:r w:rsidR="006D09C9">
              <w:rPr>
                <w:noProof/>
                <w:webHidden/>
              </w:rPr>
              <w:instrText xml:space="preserve"> PAGEREF _Toc52213705 \h </w:instrText>
            </w:r>
            <w:r w:rsidR="006D09C9">
              <w:rPr>
                <w:noProof/>
                <w:webHidden/>
              </w:rPr>
            </w:r>
            <w:r w:rsidR="006D09C9">
              <w:rPr>
                <w:noProof/>
                <w:webHidden/>
              </w:rPr>
              <w:fldChar w:fldCharType="separate"/>
            </w:r>
            <w:r w:rsidR="006D09C9">
              <w:rPr>
                <w:noProof/>
                <w:webHidden/>
              </w:rPr>
              <w:t>2</w:t>
            </w:r>
            <w:r w:rsidR="006D09C9">
              <w:rPr>
                <w:noProof/>
                <w:webHidden/>
              </w:rPr>
              <w:fldChar w:fldCharType="end"/>
            </w:r>
          </w:hyperlink>
        </w:p>
        <w:p w:rsidR="006D09C9" w:rsidRDefault="00322075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52213706" w:history="1">
            <w:r w:rsidR="006D09C9" w:rsidRPr="0002748E">
              <w:rPr>
                <w:rStyle w:val="Lienhypertexte"/>
                <w:noProof/>
              </w:rPr>
              <w:t>4 – Déductions possibles à la contribution apprentissage</w:t>
            </w:r>
            <w:r w:rsidR="006D09C9">
              <w:rPr>
                <w:noProof/>
                <w:webHidden/>
              </w:rPr>
              <w:tab/>
            </w:r>
            <w:r w:rsidR="006D09C9">
              <w:rPr>
                <w:noProof/>
                <w:webHidden/>
              </w:rPr>
              <w:fldChar w:fldCharType="begin"/>
            </w:r>
            <w:r w:rsidR="006D09C9">
              <w:rPr>
                <w:noProof/>
                <w:webHidden/>
              </w:rPr>
              <w:instrText xml:space="preserve"> PAGEREF _Toc52213706 \h </w:instrText>
            </w:r>
            <w:r w:rsidR="006D09C9">
              <w:rPr>
                <w:noProof/>
                <w:webHidden/>
              </w:rPr>
            </w:r>
            <w:r w:rsidR="006D09C9">
              <w:rPr>
                <w:noProof/>
                <w:webHidden/>
              </w:rPr>
              <w:fldChar w:fldCharType="separate"/>
            </w:r>
            <w:r w:rsidR="006D09C9">
              <w:rPr>
                <w:noProof/>
                <w:webHidden/>
              </w:rPr>
              <w:t>2</w:t>
            </w:r>
            <w:r w:rsidR="006D09C9">
              <w:rPr>
                <w:noProof/>
                <w:webHidden/>
              </w:rPr>
              <w:fldChar w:fldCharType="end"/>
            </w:r>
          </w:hyperlink>
        </w:p>
        <w:p w:rsidR="006D09C9" w:rsidRDefault="00322075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lang w:eastAsia="fr-FR"/>
            </w:rPr>
          </w:pPr>
          <w:hyperlink w:anchor="_Toc52213707" w:history="1">
            <w:r w:rsidR="006D09C9" w:rsidRPr="0002748E">
              <w:rPr>
                <w:rStyle w:val="Lienhypertexte"/>
                <w:noProof/>
              </w:rPr>
              <w:t>5 – TVA et modalités de règlement</w:t>
            </w:r>
            <w:r w:rsidR="006D09C9">
              <w:rPr>
                <w:noProof/>
                <w:webHidden/>
              </w:rPr>
              <w:tab/>
            </w:r>
            <w:r w:rsidR="006D09C9">
              <w:rPr>
                <w:noProof/>
                <w:webHidden/>
              </w:rPr>
              <w:fldChar w:fldCharType="begin"/>
            </w:r>
            <w:r w:rsidR="006D09C9">
              <w:rPr>
                <w:noProof/>
                <w:webHidden/>
              </w:rPr>
              <w:instrText xml:space="preserve"> PAGEREF _Toc52213707 \h </w:instrText>
            </w:r>
            <w:r w:rsidR="006D09C9">
              <w:rPr>
                <w:noProof/>
                <w:webHidden/>
              </w:rPr>
            </w:r>
            <w:r w:rsidR="006D09C9">
              <w:rPr>
                <w:noProof/>
                <w:webHidden/>
              </w:rPr>
              <w:fldChar w:fldCharType="separate"/>
            </w:r>
            <w:r w:rsidR="006D09C9">
              <w:rPr>
                <w:noProof/>
                <w:webHidden/>
              </w:rPr>
              <w:t>2</w:t>
            </w:r>
            <w:r w:rsidR="006D09C9">
              <w:rPr>
                <w:noProof/>
                <w:webHidden/>
              </w:rPr>
              <w:fldChar w:fldCharType="end"/>
            </w:r>
          </w:hyperlink>
        </w:p>
        <w:p w:rsidR="002425F5" w:rsidRPr="00817CBC" w:rsidRDefault="008B3A46" w:rsidP="00970874">
          <w:pPr>
            <w:rPr>
              <w:sz w:val="10"/>
              <w:szCs w:val="10"/>
            </w:rPr>
          </w:pPr>
          <w:r w:rsidRPr="002F5EF7">
            <w:rPr>
              <w:sz w:val="20"/>
              <w:szCs w:val="20"/>
            </w:rPr>
            <w:fldChar w:fldCharType="end"/>
          </w:r>
        </w:p>
      </w:sdtContent>
    </w:sdt>
    <w:p w:rsidR="00817CBC" w:rsidRPr="00824136" w:rsidRDefault="00817CBC" w:rsidP="00817CBC">
      <w:pPr>
        <w:pStyle w:val="Titre1"/>
        <w:shd w:val="clear" w:color="auto" w:fill="auto"/>
        <w:rPr>
          <w:sz w:val="10"/>
          <w:szCs w:val="10"/>
        </w:rPr>
      </w:pPr>
    </w:p>
    <w:p w:rsidR="005542F8" w:rsidRPr="004E2E4F" w:rsidRDefault="002106D3" w:rsidP="004E2E4F">
      <w:pPr>
        <w:pStyle w:val="Titre1"/>
      </w:pPr>
      <w:bookmarkStart w:id="0" w:name="_Toc52213703"/>
      <w:r>
        <w:t>1</w:t>
      </w:r>
      <w:r w:rsidR="002212A0" w:rsidRPr="004E2E4F">
        <w:t xml:space="preserve"> </w:t>
      </w:r>
      <w:r>
        <w:t>–</w:t>
      </w:r>
      <w:r w:rsidR="002212A0" w:rsidRPr="004E2E4F">
        <w:t xml:space="preserve"> </w:t>
      </w:r>
      <w:r w:rsidR="007C14A4">
        <w:t>Rappel des é</w:t>
      </w:r>
      <w:r w:rsidR="00260898">
        <w:t>chéances</w:t>
      </w:r>
      <w:r w:rsidRPr="004E2E4F">
        <w:t xml:space="preserve"> de versement des contributions</w:t>
      </w:r>
      <w:r>
        <w:t xml:space="preserve"> </w:t>
      </w:r>
      <w:r w:rsidR="00606919">
        <w:t xml:space="preserve">formation </w:t>
      </w:r>
      <w:r>
        <w:t>au titre de 202</w:t>
      </w:r>
      <w:r w:rsidRPr="004E2E4F">
        <w:t>0</w:t>
      </w:r>
      <w:bookmarkEnd w:id="0"/>
      <w:r w:rsidRPr="004E2E4F">
        <w:t xml:space="preserve"> </w:t>
      </w:r>
    </w:p>
    <w:p w:rsidR="007C14A4" w:rsidRDefault="00606919" w:rsidP="003E6C60">
      <w:pPr>
        <w:pStyle w:val="Titre2"/>
        <w:rPr>
          <w:b w:val="0"/>
          <w:color w:val="auto"/>
        </w:rPr>
      </w:pPr>
      <w:r w:rsidRPr="00606919">
        <w:rPr>
          <w:b w:val="0"/>
          <w:color w:val="auto"/>
        </w:rPr>
        <w:t>Concernant la Contribution Unique Formation Professionnelle et Apprentissage (CUFPA)</w:t>
      </w:r>
      <w:r>
        <w:rPr>
          <w:b w:val="0"/>
          <w:color w:val="auto"/>
        </w:rPr>
        <w:t xml:space="preserve">, au titre de l’année 2020, il est prévu 3 échéances de versement : 2 acomptes et un solde. </w:t>
      </w:r>
      <w:r w:rsidR="00083B52">
        <w:rPr>
          <w:b w:val="0"/>
          <w:color w:val="auto"/>
        </w:rPr>
        <w:t xml:space="preserve">Seules les entreprises de 11 salariés et plus sont redevable des </w:t>
      </w:r>
      <w:r>
        <w:rPr>
          <w:b w:val="0"/>
          <w:color w:val="auto"/>
        </w:rPr>
        <w:t xml:space="preserve">2 </w:t>
      </w:r>
      <w:r w:rsidR="00083B52">
        <w:rPr>
          <w:b w:val="0"/>
          <w:color w:val="auto"/>
        </w:rPr>
        <w:t>acomptes</w:t>
      </w:r>
      <w:r w:rsidR="007C14A4" w:rsidRPr="007C14A4">
        <w:rPr>
          <w:b w:val="0"/>
          <w:color w:val="auto"/>
        </w:rPr>
        <w:t>.</w:t>
      </w:r>
      <w:r w:rsidR="007C14A4">
        <w:rPr>
          <w:b w:val="0"/>
          <w:color w:val="auto"/>
        </w:rPr>
        <w:t xml:space="preserve"> </w:t>
      </w:r>
      <w:r w:rsidR="003D028C">
        <w:rPr>
          <w:b w:val="0"/>
          <w:color w:val="auto"/>
        </w:rPr>
        <w:br/>
      </w:r>
      <w:r w:rsidR="007C14A4">
        <w:rPr>
          <w:b w:val="0"/>
          <w:color w:val="auto"/>
        </w:rPr>
        <w:t xml:space="preserve">Les entreprises du secteur agricole effectuant des versements contribution formation </w:t>
      </w:r>
      <w:r w:rsidR="00210258">
        <w:rPr>
          <w:b w:val="0"/>
          <w:color w:val="auto"/>
        </w:rPr>
        <w:t xml:space="preserve">tout a long de l’année </w:t>
      </w:r>
      <w:r w:rsidR="007C14A4">
        <w:rPr>
          <w:b w:val="0"/>
          <w:color w:val="auto"/>
        </w:rPr>
        <w:t xml:space="preserve">à la MSA n’ont pas à verser d’acompte. Les montants complémentaires dus non versés à la MSA (complément de la contribution formation professionnelle et contribution apprentissage pour les entreprises assujetties) seront régularisés </w:t>
      </w:r>
      <w:r w:rsidR="00210258">
        <w:rPr>
          <w:b w:val="0"/>
          <w:color w:val="auto"/>
        </w:rPr>
        <w:t xml:space="preserve"> par un versement direct à OCAPIAT </w:t>
      </w:r>
      <w:r w:rsidR="007C14A4">
        <w:rPr>
          <w:b w:val="0"/>
          <w:color w:val="auto"/>
        </w:rPr>
        <w:t>au moment du versement du solde au 28/02/2021.</w:t>
      </w:r>
    </w:p>
    <w:p w:rsidR="007C14A4" w:rsidRPr="007C14A4" w:rsidRDefault="007C14A4" w:rsidP="003E6C60">
      <w:pPr>
        <w:pStyle w:val="Titre2"/>
        <w:rPr>
          <w:b w:val="0"/>
          <w:color w:val="auto"/>
          <w:sz w:val="4"/>
          <w:szCs w:val="4"/>
        </w:rPr>
      </w:pPr>
    </w:p>
    <w:tbl>
      <w:tblPr>
        <w:tblStyle w:val="Grilledutableau"/>
        <w:tblW w:w="109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410"/>
        <w:gridCol w:w="2268"/>
        <w:gridCol w:w="2268"/>
        <w:gridCol w:w="2268"/>
      </w:tblGrid>
      <w:tr w:rsidR="003E6C60" w:rsidRPr="004E2E4F" w:rsidTr="002463F2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6C60" w:rsidRPr="004E2E4F" w:rsidRDefault="00210258" w:rsidP="00210258">
            <w:pPr>
              <w:adjustRightInd w:val="0"/>
              <w:jc w:val="center"/>
              <w:rPr>
                <w:rFonts w:cs="ArialMT"/>
                <w:b/>
                <w:szCs w:val="18"/>
              </w:rPr>
            </w:pPr>
            <w:r>
              <w:rPr>
                <w:rFonts w:cs="ArialMT"/>
                <w:b/>
                <w:szCs w:val="18"/>
              </w:rPr>
              <w:t xml:space="preserve">Rappel échéances CUFPA </w:t>
            </w:r>
            <w:r w:rsidR="001F79B7">
              <w:rPr>
                <w:rFonts w:cs="ArialMT"/>
                <w:b/>
                <w:szCs w:val="18"/>
              </w:rPr>
              <w:t>au titre de l’année 202</w:t>
            </w:r>
            <w:r w:rsidR="00DD5E62">
              <w:rPr>
                <w:rFonts w:cs="ArialMT"/>
                <w:b/>
                <w:szCs w:val="18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3E6C60" w:rsidRPr="004E2E4F" w:rsidRDefault="00260898" w:rsidP="00260898">
            <w:pPr>
              <w:adjustRightInd w:val="0"/>
              <w:jc w:val="center"/>
              <w:rPr>
                <w:rFonts w:cs="ArialMT"/>
                <w:b/>
                <w:color w:val="FFFFFF" w:themeColor="background1"/>
                <w:szCs w:val="18"/>
              </w:rPr>
            </w:pPr>
            <w:r w:rsidRPr="00260898">
              <w:rPr>
                <w:rFonts w:cs="ArialMT"/>
                <w:b/>
                <w:color w:val="FFFFFF" w:themeColor="background1"/>
                <w:szCs w:val="18"/>
              </w:rPr>
              <w:t>Entreprises de 11 salarié</w:t>
            </w:r>
            <w:r w:rsidR="00757E27">
              <w:rPr>
                <w:rFonts w:cs="ArialMT"/>
                <w:b/>
                <w:color w:val="FFFFFF" w:themeColor="background1"/>
                <w:szCs w:val="18"/>
              </w:rPr>
              <w:t>s</w:t>
            </w:r>
            <w:r w:rsidRPr="00260898">
              <w:rPr>
                <w:rFonts w:cs="ArialMT"/>
                <w:b/>
                <w:color w:val="FFFFFF" w:themeColor="background1"/>
                <w:szCs w:val="18"/>
              </w:rPr>
              <w:t xml:space="preserve"> et plus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E6C60" w:rsidRPr="004E2E4F" w:rsidRDefault="00260898" w:rsidP="002463F2">
            <w:pPr>
              <w:adjustRightInd w:val="0"/>
              <w:jc w:val="center"/>
              <w:rPr>
                <w:rFonts w:cs="ArialMT"/>
                <w:b/>
                <w:color w:val="FFFFFF" w:themeColor="background1"/>
                <w:szCs w:val="18"/>
              </w:rPr>
            </w:pPr>
            <w:r w:rsidRPr="00260898">
              <w:rPr>
                <w:rFonts w:cs="ArialMT"/>
                <w:b/>
                <w:color w:val="FFFFFF" w:themeColor="background1"/>
                <w:szCs w:val="18"/>
              </w:rPr>
              <w:t xml:space="preserve">Entreprises de moins de 11 salariés </w:t>
            </w:r>
          </w:p>
        </w:tc>
      </w:tr>
      <w:tr w:rsidR="00210258" w:rsidRPr="004E2E4F" w:rsidTr="002463F2">
        <w:tc>
          <w:tcPr>
            <w:tcW w:w="17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60898" w:rsidRPr="002022D0" w:rsidRDefault="00260898" w:rsidP="003F1422">
            <w:pPr>
              <w:adjustRightInd w:val="0"/>
              <w:jc w:val="center"/>
              <w:rPr>
                <w:rFonts w:cs="Arial-BoldMT"/>
                <w:i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98" w:rsidRPr="000220EB" w:rsidRDefault="00210258" w:rsidP="002463F2">
            <w:pPr>
              <w:adjustRightInd w:val="0"/>
              <w:jc w:val="center"/>
              <w:rPr>
                <w:rFonts w:cs="ArialMT"/>
                <w:b/>
                <w:szCs w:val="18"/>
              </w:rPr>
            </w:pPr>
            <w:r>
              <w:rPr>
                <w:rFonts w:cs="ArialMT"/>
                <w:b/>
                <w:color w:val="E36C0A" w:themeColor="accent6" w:themeShade="BF"/>
                <w:szCs w:val="18"/>
              </w:rPr>
              <w:t>S</w:t>
            </w:r>
            <w:r w:rsidR="00260898" w:rsidRPr="000220EB">
              <w:rPr>
                <w:rFonts w:cs="ArialMT"/>
                <w:b/>
                <w:color w:val="E36C0A" w:themeColor="accent6" w:themeShade="BF"/>
                <w:szCs w:val="18"/>
              </w:rPr>
              <w:t>ans</w:t>
            </w:r>
            <w:r>
              <w:rPr>
                <w:rFonts w:cs="ArialMT"/>
                <w:b/>
                <w:color w:val="002060"/>
                <w:szCs w:val="18"/>
              </w:rPr>
              <w:t xml:space="preserve"> prélèvements MSA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60898" w:rsidRPr="000220EB" w:rsidRDefault="00210258" w:rsidP="002463F2">
            <w:pPr>
              <w:adjustRightInd w:val="0"/>
              <w:jc w:val="center"/>
              <w:rPr>
                <w:rFonts w:cs="ArialMT"/>
                <w:b/>
                <w:color w:val="FFFFFF" w:themeColor="background1"/>
                <w:szCs w:val="18"/>
              </w:rPr>
            </w:pPr>
            <w:r w:rsidRPr="00210258">
              <w:rPr>
                <w:rFonts w:cs="ArialMT"/>
                <w:b/>
                <w:color w:val="E36C0A" w:themeColor="accent6" w:themeShade="BF"/>
                <w:szCs w:val="18"/>
              </w:rPr>
              <w:t>A</w:t>
            </w:r>
            <w:r w:rsidR="00260898" w:rsidRPr="00210258">
              <w:rPr>
                <w:rFonts w:cs="ArialMT"/>
                <w:b/>
                <w:color w:val="E36C0A" w:themeColor="accent6" w:themeShade="BF"/>
                <w:szCs w:val="18"/>
              </w:rPr>
              <w:t>ve</w:t>
            </w:r>
            <w:r w:rsidR="00260898" w:rsidRPr="000220EB">
              <w:rPr>
                <w:rFonts w:cs="ArialMT"/>
                <w:b/>
                <w:color w:val="E36C0A" w:themeColor="accent6" w:themeShade="BF"/>
                <w:szCs w:val="18"/>
              </w:rPr>
              <w:t>c</w:t>
            </w:r>
            <w:r w:rsidR="00260898" w:rsidRPr="000220EB">
              <w:rPr>
                <w:rFonts w:cs="ArialMT"/>
                <w:b/>
                <w:color w:val="002060"/>
                <w:szCs w:val="18"/>
              </w:rPr>
              <w:t xml:space="preserve"> prélèvements MSA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98" w:rsidRPr="000220EB" w:rsidRDefault="00210258" w:rsidP="002463F2">
            <w:pPr>
              <w:adjustRightInd w:val="0"/>
              <w:jc w:val="center"/>
              <w:rPr>
                <w:rFonts w:cs="ArialMT"/>
                <w:b/>
                <w:szCs w:val="18"/>
              </w:rPr>
            </w:pPr>
            <w:r>
              <w:rPr>
                <w:rFonts w:cs="ArialMT"/>
                <w:b/>
                <w:color w:val="E36C0A" w:themeColor="accent6" w:themeShade="BF"/>
                <w:szCs w:val="18"/>
              </w:rPr>
              <w:t>S</w:t>
            </w:r>
            <w:r w:rsidR="00260898" w:rsidRPr="000220EB">
              <w:rPr>
                <w:rFonts w:cs="ArialMT"/>
                <w:b/>
                <w:color w:val="E36C0A" w:themeColor="accent6" w:themeShade="BF"/>
                <w:szCs w:val="18"/>
              </w:rPr>
              <w:t>ans</w:t>
            </w:r>
            <w:r w:rsidR="00260898" w:rsidRPr="000220EB">
              <w:rPr>
                <w:rFonts w:cs="ArialMT"/>
                <w:b/>
                <w:color w:val="002060"/>
                <w:szCs w:val="18"/>
              </w:rPr>
              <w:t xml:space="preserve"> prélèvements MSA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60898" w:rsidRPr="000220EB" w:rsidRDefault="00210258" w:rsidP="002463F2">
            <w:pPr>
              <w:adjustRightInd w:val="0"/>
              <w:ind w:right="-57"/>
              <w:jc w:val="center"/>
              <w:rPr>
                <w:rFonts w:cs="ArialMT"/>
                <w:b/>
                <w:color w:val="FFFFFF" w:themeColor="background1"/>
                <w:szCs w:val="18"/>
              </w:rPr>
            </w:pPr>
            <w:r>
              <w:rPr>
                <w:rFonts w:cs="ArialMT"/>
                <w:b/>
                <w:color w:val="E36C0A" w:themeColor="accent6" w:themeShade="BF"/>
                <w:szCs w:val="18"/>
              </w:rPr>
              <w:t>A</w:t>
            </w:r>
            <w:r w:rsidR="00260898" w:rsidRPr="000220EB">
              <w:rPr>
                <w:rFonts w:cs="ArialMT"/>
                <w:b/>
                <w:color w:val="E36C0A" w:themeColor="accent6" w:themeShade="BF"/>
                <w:szCs w:val="18"/>
              </w:rPr>
              <w:t>vec</w:t>
            </w:r>
            <w:r>
              <w:rPr>
                <w:rFonts w:cs="ArialMT"/>
                <w:b/>
                <w:color w:val="002060"/>
                <w:szCs w:val="18"/>
              </w:rPr>
              <w:t xml:space="preserve"> prélèvements MSA</w:t>
            </w:r>
          </w:p>
        </w:tc>
      </w:tr>
      <w:tr w:rsidR="00210258" w:rsidRPr="000220EB" w:rsidTr="002463F2">
        <w:tc>
          <w:tcPr>
            <w:tcW w:w="1758" w:type="dxa"/>
            <w:tcBorders>
              <w:bottom w:val="dash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E6C60" w:rsidRPr="003D028C" w:rsidRDefault="003E6C60" w:rsidP="003E6C60">
            <w:pPr>
              <w:adjustRightInd w:val="0"/>
              <w:jc w:val="center"/>
              <w:rPr>
                <w:rFonts w:cs="Arial-BoldMT"/>
                <w:i/>
                <w:color w:val="E36C0A" w:themeColor="accent6" w:themeShade="BF"/>
                <w:sz w:val="16"/>
                <w:szCs w:val="16"/>
              </w:rPr>
            </w:pPr>
            <w:r w:rsidRPr="003D028C">
              <w:rPr>
                <w:rFonts w:cs="Arial-BoldMT"/>
                <w:i/>
                <w:color w:val="E36C0A" w:themeColor="accent6" w:themeShade="BF"/>
                <w:sz w:val="16"/>
                <w:szCs w:val="16"/>
              </w:rPr>
              <w:t>Echéance 29/02/2020</w:t>
            </w:r>
          </w:p>
          <w:p w:rsidR="003E6C60" w:rsidRPr="00083B52" w:rsidRDefault="00DD5E62" w:rsidP="00DD5E62">
            <w:pPr>
              <w:adjustRightInd w:val="0"/>
              <w:jc w:val="center"/>
              <w:rPr>
                <w:rFonts w:cs="Arial-Bold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-BoldMT"/>
                <w:b/>
                <w:i/>
                <w:color w:val="808080" w:themeColor="background1" w:themeShade="80"/>
                <w:sz w:val="16"/>
                <w:szCs w:val="16"/>
              </w:rPr>
              <w:t>1er acompte CUFPA</w:t>
            </w:r>
            <w:r w:rsidR="003E6C60" w:rsidRPr="00083B52">
              <w:rPr>
                <w:rFonts w:cs="Arial-BoldMT"/>
                <w:b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3F1422" w:rsidRPr="00083B52" w:rsidRDefault="003F1422" w:rsidP="003F1422">
            <w:pPr>
              <w:adjustRightInd w:val="0"/>
              <w:jc w:val="center"/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>1</w:t>
            </w: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  <w:vertAlign w:val="superscript"/>
              </w:rPr>
              <w:t>er</w:t>
            </w: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 xml:space="preserve"> Acompte 2020 </w:t>
            </w:r>
          </w:p>
          <w:p w:rsidR="003F1422" w:rsidRPr="00083B52" w:rsidRDefault="003F1422" w:rsidP="003F1422">
            <w:pPr>
              <w:adjustRightInd w:val="0"/>
              <w:jc w:val="center"/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>(60% de la CUFPA)</w:t>
            </w:r>
          </w:p>
          <w:p w:rsidR="003E6C60" w:rsidRPr="00083B52" w:rsidRDefault="003F1422" w:rsidP="003F1422">
            <w:pPr>
              <w:adjustRightInd w:val="0"/>
              <w:jc w:val="center"/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>Déclaration 20-PA1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6C60" w:rsidRPr="00083B52" w:rsidRDefault="00757E27" w:rsidP="003F1422">
            <w:pPr>
              <w:adjustRightInd w:val="0"/>
              <w:jc w:val="center"/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 xml:space="preserve">Pas d’acompte </w:t>
            </w:r>
            <w:r w:rsidR="000220EB"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 xml:space="preserve">CUFPA </w:t>
            </w: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>car versements à la MSA</w:t>
            </w:r>
            <w:r w:rsidR="003F1422"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 xml:space="preserve"> (complément versement OCAPIAT au solde)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E6C60" w:rsidRPr="00083B52" w:rsidRDefault="003F1422" w:rsidP="003F1422">
            <w:pPr>
              <w:adjustRightInd w:val="0"/>
              <w:jc w:val="center"/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>Non concernées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6C60" w:rsidRPr="00083B52" w:rsidRDefault="003F1422" w:rsidP="003F1422">
            <w:pPr>
              <w:adjustRightInd w:val="0"/>
              <w:jc w:val="center"/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</w:pPr>
            <w:r w:rsidRPr="00083B52">
              <w:rPr>
                <w:rFonts w:cs="ArialMT"/>
                <w:i/>
                <w:color w:val="808080" w:themeColor="background1" w:themeShade="80"/>
                <w:sz w:val="16"/>
                <w:szCs w:val="16"/>
              </w:rPr>
              <w:t>Non concernées</w:t>
            </w:r>
          </w:p>
        </w:tc>
      </w:tr>
      <w:tr w:rsidR="00210258" w:rsidRPr="004E2E4F" w:rsidTr="002463F2">
        <w:tc>
          <w:tcPr>
            <w:tcW w:w="1758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260898" w:rsidRPr="00083B52" w:rsidRDefault="003E6C60" w:rsidP="003F1422">
            <w:pPr>
              <w:adjustRightInd w:val="0"/>
              <w:ind w:hanging="11"/>
              <w:jc w:val="center"/>
              <w:rPr>
                <w:rFonts w:cs="ArialMT"/>
                <w:b/>
                <w:color w:val="FF0000"/>
                <w:sz w:val="16"/>
                <w:szCs w:val="16"/>
              </w:rPr>
            </w:pPr>
            <w:r w:rsidRPr="00083B52">
              <w:rPr>
                <w:rFonts w:cs="ArialMT"/>
                <w:b/>
                <w:color w:val="FF0000"/>
                <w:sz w:val="16"/>
                <w:szCs w:val="16"/>
              </w:rPr>
              <w:t xml:space="preserve">Echéance </w:t>
            </w:r>
            <w:r w:rsidR="00260898" w:rsidRPr="00083B52">
              <w:rPr>
                <w:rFonts w:cs="ArialMT"/>
                <w:b/>
                <w:color w:val="FF0000"/>
                <w:sz w:val="16"/>
                <w:szCs w:val="16"/>
              </w:rPr>
              <w:t>31/10/20</w:t>
            </w:r>
          </w:p>
          <w:p w:rsidR="001F79B7" w:rsidRPr="00083B52" w:rsidRDefault="00DD5E62" w:rsidP="00260898">
            <w:pPr>
              <w:adjustRightInd w:val="0"/>
              <w:ind w:hanging="11"/>
              <w:jc w:val="center"/>
              <w:rPr>
                <w:rFonts w:cs="ArialMT"/>
                <w:b/>
                <w:sz w:val="16"/>
                <w:szCs w:val="16"/>
              </w:rPr>
            </w:pPr>
            <w:r w:rsidRPr="00083B52">
              <w:rPr>
                <w:rFonts w:cs="ArialMT"/>
                <w:b/>
                <w:sz w:val="16"/>
                <w:szCs w:val="16"/>
              </w:rPr>
              <w:t>2</w:t>
            </w:r>
            <w:r w:rsidRPr="00083B52">
              <w:rPr>
                <w:rFonts w:cs="ArialMT"/>
                <w:b/>
                <w:sz w:val="16"/>
                <w:szCs w:val="16"/>
                <w:vertAlign w:val="superscript"/>
              </w:rPr>
              <w:t>nd</w:t>
            </w:r>
            <w:r w:rsidRPr="00083B52">
              <w:rPr>
                <w:rFonts w:cs="ArialMT"/>
                <w:b/>
                <w:sz w:val="16"/>
                <w:szCs w:val="16"/>
              </w:rPr>
              <w:t xml:space="preserve"> acompte CUFPA</w:t>
            </w:r>
          </w:p>
          <w:p w:rsidR="00DD5E62" w:rsidRPr="00083B52" w:rsidRDefault="001F79B7" w:rsidP="001F79B7">
            <w:pPr>
              <w:adjustRightInd w:val="0"/>
              <w:ind w:hanging="11"/>
              <w:jc w:val="center"/>
              <w:rPr>
                <w:rFonts w:cs="ArialMT"/>
                <w:i/>
                <w:sz w:val="16"/>
                <w:szCs w:val="16"/>
              </w:rPr>
            </w:pPr>
            <w:r w:rsidRPr="00083B52">
              <w:rPr>
                <w:rFonts w:cs="ArialMT"/>
                <w:i/>
                <w:sz w:val="16"/>
                <w:szCs w:val="16"/>
              </w:rPr>
              <w:t>(initialement prévue au 15/09/20)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F1422" w:rsidRPr="00083B52" w:rsidRDefault="003F1422" w:rsidP="00DD5E62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b/>
                <w:sz w:val="16"/>
                <w:szCs w:val="16"/>
              </w:rPr>
              <w:t>2</w:t>
            </w:r>
            <w:r w:rsidRPr="00083B52">
              <w:rPr>
                <w:rFonts w:cs="ArialMT"/>
                <w:b/>
                <w:sz w:val="16"/>
                <w:szCs w:val="16"/>
                <w:vertAlign w:val="superscript"/>
              </w:rPr>
              <w:t>nd</w:t>
            </w:r>
            <w:r w:rsidRPr="00083B52">
              <w:rPr>
                <w:rFonts w:cs="ArialMT"/>
                <w:b/>
                <w:sz w:val="16"/>
                <w:szCs w:val="16"/>
              </w:rPr>
              <w:t xml:space="preserve"> acompte 2020</w:t>
            </w:r>
          </w:p>
          <w:p w:rsidR="00757E27" w:rsidRPr="00083B52" w:rsidRDefault="00757E27" w:rsidP="00DD5E62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>(38% de la CUFPA)</w:t>
            </w:r>
          </w:p>
          <w:p w:rsidR="003E6C60" w:rsidRPr="00083B52" w:rsidRDefault="003F1422" w:rsidP="00DD5E62">
            <w:pPr>
              <w:adjustRightInd w:val="0"/>
              <w:jc w:val="center"/>
              <w:rPr>
                <w:rFonts w:cs="ArialMT"/>
                <w:b/>
                <w:sz w:val="16"/>
                <w:szCs w:val="16"/>
              </w:rPr>
            </w:pPr>
            <w:r w:rsidRPr="00083B52">
              <w:rPr>
                <w:rFonts w:cs="ArialMT"/>
                <w:b/>
                <w:color w:val="FFFFFF" w:themeColor="background1"/>
                <w:sz w:val="16"/>
                <w:szCs w:val="16"/>
                <w:highlight w:val="magenta"/>
                <w:shd w:val="clear" w:color="auto" w:fill="E36C0A" w:themeFill="accent6" w:themeFillShade="BF"/>
              </w:rPr>
              <w:t>Déclaration 20-PA2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6C60" w:rsidRPr="002463F2" w:rsidRDefault="00757E27" w:rsidP="00757E27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2463F2">
              <w:rPr>
                <w:rFonts w:cs="ArialMT"/>
                <w:sz w:val="16"/>
                <w:szCs w:val="16"/>
              </w:rPr>
              <w:t xml:space="preserve">Pas d’acompte </w:t>
            </w:r>
            <w:r w:rsidR="000220EB" w:rsidRPr="002463F2">
              <w:rPr>
                <w:rFonts w:cs="ArialMT"/>
                <w:sz w:val="16"/>
                <w:szCs w:val="16"/>
              </w:rPr>
              <w:t xml:space="preserve">CUFPA </w:t>
            </w:r>
            <w:r w:rsidRPr="002463F2">
              <w:rPr>
                <w:rFonts w:cs="ArialMT"/>
                <w:sz w:val="16"/>
                <w:szCs w:val="16"/>
              </w:rPr>
              <w:t>car versements à la MSA (complément versement OCAPIAT au solde)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6C60" w:rsidRPr="002463F2" w:rsidRDefault="003F1422" w:rsidP="003F1422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2463F2">
              <w:rPr>
                <w:rFonts w:cs="ArialMT"/>
                <w:sz w:val="16"/>
                <w:szCs w:val="16"/>
              </w:rPr>
              <w:t>Non concernées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6C60" w:rsidRPr="002463F2" w:rsidRDefault="003F1422" w:rsidP="003F1422">
            <w:pPr>
              <w:adjustRightInd w:val="0"/>
              <w:ind w:left="-11"/>
              <w:jc w:val="center"/>
              <w:rPr>
                <w:rFonts w:cs="ArialMT"/>
                <w:sz w:val="16"/>
                <w:szCs w:val="16"/>
              </w:rPr>
            </w:pPr>
            <w:r w:rsidRPr="002463F2">
              <w:rPr>
                <w:rFonts w:cs="ArialMT"/>
                <w:sz w:val="16"/>
                <w:szCs w:val="16"/>
              </w:rPr>
              <w:t>Non concernées</w:t>
            </w:r>
          </w:p>
        </w:tc>
      </w:tr>
      <w:tr w:rsidR="00210258" w:rsidRPr="004E2E4F" w:rsidTr="002463F2">
        <w:trPr>
          <w:trHeight w:val="697"/>
        </w:trPr>
        <w:tc>
          <w:tcPr>
            <w:tcW w:w="175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DD5E62" w:rsidRPr="00083B52" w:rsidRDefault="00DD5E62" w:rsidP="00DD5E62">
            <w:pPr>
              <w:adjustRightInd w:val="0"/>
              <w:jc w:val="center"/>
              <w:rPr>
                <w:rFonts w:cs="Arial-BoldMT"/>
                <w:color w:val="E36C0A" w:themeColor="accent6" w:themeShade="BF"/>
                <w:sz w:val="16"/>
                <w:szCs w:val="16"/>
              </w:rPr>
            </w:pPr>
            <w:r w:rsidRPr="00083B52">
              <w:rPr>
                <w:rFonts w:cs="Arial-BoldMT"/>
                <w:color w:val="E36C0A" w:themeColor="accent6" w:themeShade="BF"/>
                <w:sz w:val="16"/>
                <w:szCs w:val="16"/>
              </w:rPr>
              <w:t>Echéance 28/02/2021</w:t>
            </w:r>
          </w:p>
          <w:p w:rsidR="003E6C60" w:rsidRPr="002463F2" w:rsidRDefault="00DD5E62" w:rsidP="002463F2">
            <w:pPr>
              <w:adjustRightInd w:val="0"/>
              <w:ind w:hanging="11"/>
              <w:jc w:val="center"/>
              <w:rPr>
                <w:rFonts w:cs="Arial-BoldMT"/>
                <w:sz w:val="16"/>
                <w:szCs w:val="16"/>
              </w:rPr>
            </w:pPr>
            <w:r w:rsidRPr="00083B52">
              <w:rPr>
                <w:rFonts w:cs="Arial-BoldMT"/>
                <w:sz w:val="16"/>
                <w:szCs w:val="16"/>
              </w:rPr>
              <w:t>Solde CUFPA 2020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20EB" w:rsidRPr="00083B52" w:rsidRDefault="00757E27" w:rsidP="000220EB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 xml:space="preserve">Solde </w:t>
            </w:r>
            <w:r w:rsidR="000220EB" w:rsidRPr="00083B52">
              <w:rPr>
                <w:rFonts w:cs="ArialMT"/>
                <w:sz w:val="16"/>
                <w:szCs w:val="16"/>
              </w:rPr>
              <w:t xml:space="preserve"> </w:t>
            </w:r>
            <w:r w:rsidR="001F79B7" w:rsidRPr="00083B52">
              <w:rPr>
                <w:rFonts w:cs="ArialMT"/>
                <w:sz w:val="16"/>
                <w:szCs w:val="16"/>
              </w:rPr>
              <w:t xml:space="preserve">CUFPA </w:t>
            </w:r>
            <w:r w:rsidR="000220EB" w:rsidRPr="00083B52">
              <w:rPr>
                <w:rFonts w:cs="ArialMT"/>
                <w:sz w:val="16"/>
                <w:szCs w:val="16"/>
              </w:rPr>
              <w:t>2020</w:t>
            </w:r>
          </w:p>
          <w:p w:rsidR="000220EB" w:rsidRPr="002463F2" w:rsidRDefault="000220EB" w:rsidP="002463F2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>a</w:t>
            </w:r>
            <w:r w:rsidR="003F1422" w:rsidRPr="00083B52">
              <w:rPr>
                <w:rFonts w:cs="ArialMT"/>
                <w:sz w:val="16"/>
                <w:szCs w:val="16"/>
              </w:rPr>
              <w:t>vec déduction montant</w:t>
            </w:r>
            <w:r w:rsidRPr="00083B52">
              <w:rPr>
                <w:rFonts w:cs="ArialMT"/>
                <w:sz w:val="16"/>
                <w:szCs w:val="16"/>
              </w:rPr>
              <w:t>s déjà versé</w:t>
            </w:r>
            <w:r w:rsidR="003F1422" w:rsidRPr="00083B52">
              <w:rPr>
                <w:rFonts w:cs="ArialMT"/>
                <w:sz w:val="16"/>
                <w:szCs w:val="16"/>
              </w:rPr>
              <w:t>s</w:t>
            </w:r>
            <w:r w:rsidRPr="00083B52">
              <w:rPr>
                <w:rFonts w:cs="ArialMT"/>
                <w:sz w:val="16"/>
                <w:szCs w:val="16"/>
              </w:rPr>
              <w:t xml:space="preserve"> lors des 2 acomptes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F79B7" w:rsidRPr="00083B52" w:rsidRDefault="000220EB" w:rsidP="000220EB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 xml:space="preserve">Solde  </w:t>
            </w:r>
            <w:r w:rsidR="001F79B7" w:rsidRPr="00083B52">
              <w:rPr>
                <w:rFonts w:cs="ArialMT"/>
                <w:sz w:val="16"/>
                <w:szCs w:val="16"/>
              </w:rPr>
              <w:t xml:space="preserve">CUFPA </w:t>
            </w:r>
            <w:r w:rsidRPr="00083B52">
              <w:rPr>
                <w:rFonts w:cs="ArialMT"/>
                <w:sz w:val="16"/>
                <w:szCs w:val="16"/>
              </w:rPr>
              <w:t xml:space="preserve">2020 </w:t>
            </w:r>
          </w:p>
          <w:p w:rsidR="000220EB" w:rsidRPr="002463F2" w:rsidRDefault="000220EB" w:rsidP="002463F2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>avec déduction montant</w:t>
            </w:r>
            <w:r w:rsidR="001F79B7" w:rsidRPr="00083B52">
              <w:rPr>
                <w:rFonts w:cs="ArialMT"/>
                <w:sz w:val="16"/>
                <w:szCs w:val="16"/>
              </w:rPr>
              <w:t>s déjà versé</w:t>
            </w:r>
            <w:r w:rsidRPr="00083B52">
              <w:rPr>
                <w:rFonts w:cs="ArialMT"/>
                <w:sz w:val="16"/>
                <w:szCs w:val="16"/>
              </w:rPr>
              <w:t>s à la MSA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6C60" w:rsidRPr="00083B52" w:rsidRDefault="001F79B7" w:rsidP="001F79B7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>CUFPA moins de 11 salariés 2020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E6C60" w:rsidRPr="00083B52" w:rsidRDefault="001F79B7" w:rsidP="003F1422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>CUFPA moins de 11 salariés 2020</w:t>
            </w:r>
          </w:p>
          <w:p w:rsidR="001F79B7" w:rsidRPr="00083B52" w:rsidRDefault="001F79B7" w:rsidP="001F79B7">
            <w:pPr>
              <w:adjustRightInd w:val="0"/>
              <w:jc w:val="center"/>
              <w:rPr>
                <w:rFonts w:cs="ArialMT"/>
                <w:sz w:val="16"/>
                <w:szCs w:val="16"/>
              </w:rPr>
            </w:pPr>
            <w:r w:rsidRPr="00083B52">
              <w:rPr>
                <w:rFonts w:cs="ArialMT"/>
                <w:sz w:val="16"/>
                <w:szCs w:val="16"/>
              </w:rPr>
              <w:t>avec déduction montants déjà versés à la MSA</w:t>
            </w:r>
          </w:p>
        </w:tc>
      </w:tr>
    </w:tbl>
    <w:p w:rsidR="007374C4" w:rsidRPr="007374C4" w:rsidRDefault="007374C4" w:rsidP="007374C4">
      <w:pPr>
        <w:widowControl/>
        <w:adjustRightInd w:val="0"/>
        <w:rPr>
          <w:rFonts w:eastAsiaTheme="minorHAnsi" w:cs="ArialMT"/>
          <w:szCs w:val="18"/>
        </w:rPr>
      </w:pPr>
    </w:p>
    <w:p w:rsidR="002106D3" w:rsidRPr="004E2E4F" w:rsidRDefault="002106D3" w:rsidP="002106D3">
      <w:pPr>
        <w:pStyle w:val="Titre1"/>
      </w:pPr>
      <w:bookmarkStart w:id="1" w:name="_Toc52213704"/>
      <w:r>
        <w:t>2</w:t>
      </w:r>
      <w:r w:rsidRPr="004E2E4F">
        <w:t xml:space="preserve"> </w:t>
      </w:r>
      <w:r w:rsidR="007374C4">
        <w:t>–</w:t>
      </w:r>
      <w:r w:rsidRPr="004E2E4F">
        <w:t xml:space="preserve"> </w:t>
      </w:r>
      <w:r w:rsidR="00CF721A">
        <w:t>Les montants à verser lors</w:t>
      </w:r>
      <w:r w:rsidRPr="004E2E4F">
        <w:t xml:space="preserve"> </w:t>
      </w:r>
      <w:r w:rsidR="007374C4">
        <w:t xml:space="preserve">du second acompte </w:t>
      </w:r>
      <w:r>
        <w:t>au titre de 202</w:t>
      </w:r>
      <w:r w:rsidRPr="004E2E4F">
        <w:t>0</w:t>
      </w:r>
      <w:bookmarkEnd w:id="1"/>
    </w:p>
    <w:p w:rsidR="00CF721A" w:rsidRDefault="00970874" w:rsidP="00CF721A">
      <w:pPr>
        <w:pStyle w:val="Titre2"/>
      </w:pPr>
      <w:r w:rsidRPr="004E2E4F">
        <w:t xml:space="preserve">a) </w:t>
      </w:r>
      <w:r w:rsidR="00A733DB">
        <w:t>Calcul du montant du second acompte CUFPA</w:t>
      </w:r>
      <w:r w:rsidR="00DE0005">
        <w:t xml:space="preserve"> dû par les entreprises de 11 salariés et plus</w:t>
      </w:r>
    </w:p>
    <w:p w:rsidR="00DE0005" w:rsidRDefault="00A733DB" w:rsidP="00A733DB">
      <w:r>
        <w:t xml:space="preserve">Après un premier acompte de 60% de la CUFPA à l’échéance du 28/02/2020, ce second acompte est de 38% de </w:t>
      </w:r>
      <w:r w:rsidR="00DE0005">
        <w:t>l</w:t>
      </w:r>
      <w:r>
        <w:t>a CUFP</w:t>
      </w:r>
      <w:r w:rsidR="00DE0005">
        <w:t xml:space="preserve">A. </w:t>
      </w:r>
    </w:p>
    <w:p w:rsidR="00DE0005" w:rsidRDefault="00DE0005" w:rsidP="00A733DB">
      <w:r>
        <w:t xml:space="preserve">Le cumul des 2 acomptes exigible au 31/10/2020 </w:t>
      </w:r>
      <w:r w:rsidR="00CD1131">
        <w:t xml:space="preserve">est </w:t>
      </w:r>
      <w:r>
        <w:t xml:space="preserve">donc égal à 98% de la CUFPA, montant auquel est </w:t>
      </w:r>
      <w:r w:rsidR="00CD1131">
        <w:t xml:space="preserve">à déduire </w:t>
      </w:r>
      <w:r>
        <w:t xml:space="preserve">le </w:t>
      </w:r>
      <w:r w:rsidR="00CD1131">
        <w:t xml:space="preserve">versement du </w:t>
      </w:r>
      <w:r>
        <w:t>1</w:t>
      </w:r>
      <w:r w:rsidRPr="00DE0005">
        <w:rPr>
          <w:vertAlign w:val="superscript"/>
        </w:rPr>
        <w:t>er</w:t>
      </w:r>
      <w:r>
        <w:t xml:space="preserve"> </w:t>
      </w:r>
      <w:r w:rsidR="00CD1131">
        <w:t>acompte</w:t>
      </w:r>
      <w:r>
        <w:t>.</w:t>
      </w:r>
    </w:p>
    <w:p w:rsidR="00CD1131" w:rsidRPr="00CD1131" w:rsidRDefault="00CD1131" w:rsidP="00A733DB">
      <w:pPr>
        <w:rPr>
          <w:sz w:val="10"/>
          <w:szCs w:val="10"/>
        </w:rPr>
      </w:pPr>
    </w:p>
    <w:p w:rsidR="00CD1131" w:rsidRDefault="00CD1131" w:rsidP="00CD1131">
      <w:pPr>
        <w:rPr>
          <w:w w:val="105"/>
          <w:szCs w:val="18"/>
        </w:rPr>
      </w:pPr>
      <w:r>
        <w:t xml:space="preserve">Concernant les bases de Masse Salariale Brute (MSB) à prendre en compte, </w:t>
      </w:r>
      <w:r>
        <w:rPr>
          <w:w w:val="105"/>
          <w:szCs w:val="18"/>
        </w:rPr>
        <w:t>pour les acomptes d’une année n, la MSB à retenir est généralement celle de l’année n-1. Néanmoins, pour les acomptes au titre de l’année 2020</w:t>
      </w:r>
      <w:r w:rsidR="00B55442">
        <w:rPr>
          <w:w w:val="105"/>
          <w:szCs w:val="18"/>
        </w:rPr>
        <w:t>, compte-</w:t>
      </w:r>
      <w:r>
        <w:rPr>
          <w:w w:val="105"/>
          <w:szCs w:val="18"/>
        </w:rPr>
        <w:t xml:space="preserve">tenu du contexte lié à la COVID, il est possible de substituer la MSB 2019 </w:t>
      </w:r>
      <w:r w:rsidRPr="00D05313">
        <w:rPr>
          <w:b/>
          <w:w w:val="105"/>
          <w:szCs w:val="18"/>
        </w:rPr>
        <w:t>par une projection de la MSB 2020</w:t>
      </w:r>
      <w:r>
        <w:rPr>
          <w:w w:val="105"/>
          <w:szCs w:val="18"/>
        </w:rPr>
        <w:t>.</w:t>
      </w:r>
    </w:p>
    <w:p w:rsidR="00D05313" w:rsidRPr="002463F2" w:rsidRDefault="00D05313" w:rsidP="00CD1131">
      <w:pPr>
        <w:rPr>
          <w:w w:val="105"/>
          <w:sz w:val="10"/>
          <w:szCs w:val="10"/>
        </w:rPr>
      </w:pPr>
    </w:p>
    <w:p w:rsidR="00D05313" w:rsidRPr="00737B2A" w:rsidRDefault="00D05313" w:rsidP="00D05313">
      <w:pPr>
        <w:rPr>
          <w:w w:val="105"/>
          <w:szCs w:val="18"/>
        </w:rPr>
      </w:pPr>
      <w:r>
        <w:rPr>
          <w:w w:val="105"/>
          <w:szCs w:val="18"/>
        </w:rPr>
        <w:t xml:space="preserve">Rappel : </w:t>
      </w:r>
      <w:r w:rsidR="00A726B8">
        <w:rPr>
          <w:w w:val="105"/>
          <w:szCs w:val="18"/>
        </w:rPr>
        <w:t xml:space="preserve">La </w:t>
      </w:r>
      <w:r w:rsidRPr="00737B2A">
        <w:rPr>
          <w:w w:val="105"/>
          <w:szCs w:val="18"/>
        </w:rPr>
        <w:t xml:space="preserve">masse salariale </w:t>
      </w:r>
      <w:r w:rsidR="00A726B8">
        <w:rPr>
          <w:w w:val="105"/>
          <w:szCs w:val="18"/>
        </w:rPr>
        <w:t xml:space="preserve">brute </w:t>
      </w:r>
      <w:r w:rsidR="00D728B9">
        <w:rPr>
          <w:w w:val="105"/>
          <w:szCs w:val="18"/>
        </w:rPr>
        <w:t>à retenir est identique à celle</w:t>
      </w:r>
      <w:r w:rsidRPr="00737B2A">
        <w:rPr>
          <w:w w:val="105"/>
          <w:szCs w:val="18"/>
        </w:rPr>
        <w:t xml:space="preserve"> servant au calcul des cotisations de sécurité</w:t>
      </w:r>
      <w:r w:rsidRPr="00737B2A">
        <w:rPr>
          <w:spacing w:val="-24"/>
          <w:w w:val="105"/>
          <w:szCs w:val="18"/>
        </w:rPr>
        <w:t xml:space="preserve"> </w:t>
      </w:r>
      <w:r w:rsidRPr="00737B2A">
        <w:rPr>
          <w:w w:val="105"/>
          <w:szCs w:val="18"/>
        </w:rPr>
        <w:t>sociale.</w:t>
      </w:r>
    </w:p>
    <w:p w:rsidR="00970874" w:rsidRPr="004E2E4F" w:rsidRDefault="00123A6D" w:rsidP="007F07D2">
      <w:pPr>
        <w:pStyle w:val="Titre2"/>
      </w:pPr>
      <w:r>
        <w:t>b</w:t>
      </w:r>
      <w:r w:rsidR="00CF721A">
        <w:t xml:space="preserve">) </w:t>
      </w:r>
      <w:r w:rsidR="007F07D2">
        <w:t xml:space="preserve">Les </w:t>
      </w:r>
      <w:r w:rsidR="00970874" w:rsidRPr="004E2E4F">
        <w:t xml:space="preserve">contributions </w:t>
      </w:r>
      <w:r w:rsidR="00DE0005">
        <w:t xml:space="preserve">concernées par les </w:t>
      </w:r>
      <w:r w:rsidR="00C934B3">
        <w:t xml:space="preserve">acomptes </w:t>
      </w:r>
      <w:r w:rsidR="00B55442">
        <w:t xml:space="preserve">CUFPA </w:t>
      </w:r>
      <w:r w:rsidR="00C934B3">
        <w:t>des entreprises de 11 salariés et plus</w:t>
      </w:r>
    </w:p>
    <w:p w:rsidR="00E12D3C" w:rsidRDefault="00123A6D" w:rsidP="000F64F2">
      <w:pPr>
        <w:pStyle w:val="Paragraphedeliste"/>
      </w:pPr>
      <w:r>
        <w:t>La Contribution Formation P</w:t>
      </w:r>
      <w:r w:rsidR="00EE6451">
        <w:t>rofessionnelle</w:t>
      </w:r>
      <w:r>
        <w:t xml:space="preserve"> </w:t>
      </w:r>
      <w:r w:rsidR="00CD1131">
        <w:t>(</w:t>
      </w:r>
      <w:r>
        <w:t>sur la MSB Totale</w:t>
      </w:r>
      <w:r w:rsidR="00CD1131">
        <w:t>)</w:t>
      </w:r>
      <w:r w:rsidR="00EE6451">
        <w:t xml:space="preserve"> : </w:t>
      </w:r>
    </w:p>
    <w:p w:rsidR="00EE6451" w:rsidRDefault="00CD1131" w:rsidP="000F64F2">
      <w:pPr>
        <w:pStyle w:val="Paragraphedeliste"/>
        <w:numPr>
          <w:ilvl w:val="1"/>
          <w:numId w:val="16"/>
        </w:numPr>
      </w:pPr>
      <w:r>
        <w:t>1% MSB</w:t>
      </w:r>
      <w:r w:rsidR="00EE6451">
        <w:t xml:space="preserve"> (hors franchissement de seu</w:t>
      </w:r>
      <w:r w:rsidR="00534F9F">
        <w:t>i</w:t>
      </w:r>
      <w:r w:rsidR="00EE6451">
        <w:t>l</w:t>
      </w:r>
      <w:r w:rsidR="00B55442">
        <w:t xml:space="preserve"> +11 récent</w:t>
      </w:r>
      <w:r w:rsidR="00EE6451">
        <w:t xml:space="preserve"> – </w:t>
      </w:r>
      <w:r w:rsidR="00123A6D" w:rsidRPr="00B55442">
        <w:t xml:space="preserve">voir </w:t>
      </w:r>
      <w:r w:rsidR="00B55442" w:rsidRPr="00B55442">
        <w:t xml:space="preserve">partie c </w:t>
      </w:r>
      <w:r w:rsidR="00123A6D" w:rsidRPr="00B55442">
        <w:t>ci-dessous</w:t>
      </w:r>
      <w:r w:rsidR="00EE6451">
        <w:t>)</w:t>
      </w:r>
    </w:p>
    <w:p w:rsidR="00E12D3C" w:rsidRDefault="00123A6D" w:rsidP="000F64F2">
      <w:pPr>
        <w:pStyle w:val="Paragraphedeliste"/>
      </w:pPr>
      <w:r>
        <w:t xml:space="preserve">La </w:t>
      </w:r>
      <w:r w:rsidR="00E12D3C">
        <w:t>C</w:t>
      </w:r>
      <w:r w:rsidR="00C934B3">
        <w:t>ontribution A</w:t>
      </w:r>
      <w:r w:rsidR="007F07D2">
        <w:t>pprentissage</w:t>
      </w:r>
      <w:r w:rsidR="00C934B3">
        <w:t xml:space="preserve"> </w:t>
      </w:r>
      <w:r>
        <w:t>sur la MSB assujettie à la taxe d’apprentissage</w:t>
      </w:r>
      <w:r w:rsidR="00D05313">
        <w:t xml:space="preserve"> (voir partie 3 - Rappel Assujettissement TA)</w:t>
      </w:r>
    </w:p>
    <w:p w:rsidR="007F07D2" w:rsidRDefault="007F07D2" w:rsidP="00B55442">
      <w:pPr>
        <w:pStyle w:val="Paragraphedeliste"/>
        <w:numPr>
          <w:ilvl w:val="1"/>
          <w:numId w:val="16"/>
        </w:numPr>
      </w:pPr>
      <w:r>
        <w:t>87</w:t>
      </w:r>
      <w:r w:rsidR="00D05313">
        <w:t>% de</w:t>
      </w:r>
      <w:r w:rsidR="00E12D3C">
        <w:t xml:space="preserve"> 0,68% </w:t>
      </w:r>
      <w:r w:rsidR="00121E5A">
        <w:t xml:space="preserve">de la </w:t>
      </w:r>
      <w:r w:rsidR="00E12D3C">
        <w:t xml:space="preserve">MSB </w:t>
      </w:r>
      <w:r w:rsidR="00A7262B">
        <w:t>M</w:t>
      </w:r>
      <w:r w:rsidR="00E12D3C">
        <w:t xml:space="preserve">étropole </w:t>
      </w:r>
      <w:r w:rsidR="00121E5A">
        <w:t>(hors Alsace-</w:t>
      </w:r>
      <w:r w:rsidR="00572B35">
        <w:t>Moselle),</w:t>
      </w:r>
      <w:r w:rsidR="00E12D3C">
        <w:t xml:space="preserve"> </w:t>
      </w:r>
      <w:r w:rsidR="004A56F6">
        <w:t xml:space="preserve">Guadeloupe, </w:t>
      </w:r>
      <w:r w:rsidR="00B55442">
        <w:t xml:space="preserve">Martinique, </w:t>
      </w:r>
      <w:r w:rsidR="00B55442" w:rsidRPr="00B55442">
        <w:t xml:space="preserve">Guyane, </w:t>
      </w:r>
      <w:r w:rsidR="00B55442">
        <w:t>la Réunion</w:t>
      </w:r>
    </w:p>
    <w:p w:rsidR="00E12D3C" w:rsidRDefault="00E12D3C" w:rsidP="000F64F2">
      <w:pPr>
        <w:pStyle w:val="Paragraphedeliste"/>
        <w:numPr>
          <w:ilvl w:val="1"/>
          <w:numId w:val="16"/>
        </w:numPr>
      </w:pPr>
      <w:r>
        <w:t xml:space="preserve">0,44% </w:t>
      </w:r>
      <w:r w:rsidR="00121E5A">
        <w:t>de la MSB Alsace-</w:t>
      </w:r>
      <w:r>
        <w:t>Moselle</w:t>
      </w:r>
    </w:p>
    <w:p w:rsidR="00B55442" w:rsidRPr="004E2E4F" w:rsidRDefault="00B55442" w:rsidP="00B55442">
      <w:pPr>
        <w:pStyle w:val="Titre2"/>
      </w:pPr>
      <w:r>
        <w:t>c) Cas des entreprises de 11 salariés et plus, ayant récemment franchi pour la première fois le seuil de 11 salariés</w:t>
      </w:r>
    </w:p>
    <w:tbl>
      <w:tblPr>
        <w:tblStyle w:val="TableNormal"/>
        <w:tblW w:w="0" w:type="auto"/>
        <w:jc w:val="center"/>
        <w:tblBorders>
          <w:top w:val="dashed" w:sz="6" w:space="0" w:color="CCCCCC"/>
          <w:left w:val="dashed" w:sz="6" w:space="0" w:color="CCCCCC"/>
          <w:bottom w:val="dashed" w:sz="6" w:space="0" w:color="CCCCCC"/>
          <w:right w:val="dashed" w:sz="6" w:space="0" w:color="CCCCCC"/>
          <w:insideH w:val="dashed" w:sz="6" w:space="0" w:color="CCCCCC"/>
          <w:insideV w:val="dashed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161"/>
        <w:gridCol w:w="2338"/>
      </w:tblGrid>
      <w:tr w:rsidR="002E0635" w:rsidRPr="004D564B" w:rsidTr="00083B52">
        <w:trPr>
          <w:trHeight w:val="275"/>
          <w:jc w:val="center"/>
        </w:trPr>
        <w:tc>
          <w:tcPr>
            <w:tcW w:w="7161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9D9D9" w:themeFill="background1" w:themeFillShade="D9"/>
          </w:tcPr>
          <w:p w:rsidR="002E0635" w:rsidRPr="004D564B" w:rsidRDefault="00D728B9" w:rsidP="00D728B9">
            <w:pPr>
              <w:pStyle w:val="TableParagraph"/>
              <w:spacing w:before="64"/>
              <w:ind w:left="82"/>
              <w:rPr>
                <w:b/>
                <w:szCs w:val="18"/>
                <w:lang w:val="fr-FR"/>
              </w:rPr>
            </w:pPr>
            <w:r>
              <w:rPr>
                <w:b/>
                <w:color w:val="333333"/>
                <w:w w:val="105"/>
                <w:szCs w:val="18"/>
                <w:lang w:val="fr-FR"/>
              </w:rPr>
              <w:t>Lissage des taux selon a</w:t>
            </w:r>
            <w:r w:rsidR="002E0635" w:rsidRPr="004D564B">
              <w:rPr>
                <w:b/>
                <w:color w:val="333333"/>
                <w:w w:val="105"/>
                <w:szCs w:val="18"/>
                <w:lang w:val="fr-FR"/>
              </w:rPr>
              <w:t>nnée de franchissement</w:t>
            </w:r>
            <w:r w:rsidR="004D564B" w:rsidRPr="00454F0E">
              <w:rPr>
                <w:lang w:val="fr-FR"/>
              </w:rPr>
              <w:t xml:space="preserve"> </w:t>
            </w:r>
            <w:r w:rsidR="004D564B" w:rsidRPr="004D564B">
              <w:rPr>
                <w:b/>
                <w:color w:val="333333"/>
                <w:w w:val="105"/>
                <w:szCs w:val="18"/>
                <w:lang w:val="fr-FR"/>
              </w:rPr>
              <w:t>seuil de 11 salariés</w:t>
            </w:r>
            <w:r w:rsidR="002E0635" w:rsidRPr="004D564B">
              <w:rPr>
                <w:b/>
                <w:color w:val="333333"/>
                <w:w w:val="105"/>
                <w:szCs w:val="18"/>
                <w:lang w:val="fr-FR"/>
              </w:rPr>
              <w:t xml:space="preserve"> :</w:t>
            </w:r>
          </w:p>
        </w:tc>
        <w:tc>
          <w:tcPr>
            <w:tcW w:w="2338" w:type="dxa"/>
            <w:tcBorders>
              <w:top w:val="single" w:sz="6" w:space="0" w:color="CCCCCC"/>
            </w:tcBorders>
            <w:shd w:val="clear" w:color="auto" w:fill="D9D9D9" w:themeFill="background1" w:themeFillShade="D9"/>
          </w:tcPr>
          <w:p w:rsidR="002E0635" w:rsidRPr="004D564B" w:rsidRDefault="00B55442" w:rsidP="003B771B">
            <w:pPr>
              <w:pStyle w:val="TableParagraph"/>
              <w:spacing w:before="64"/>
              <w:ind w:left="82" w:right="73"/>
              <w:jc w:val="center"/>
              <w:rPr>
                <w:b/>
                <w:szCs w:val="18"/>
                <w:lang w:val="fr-FR"/>
              </w:rPr>
            </w:pPr>
            <w:r>
              <w:rPr>
                <w:b/>
                <w:color w:val="333333"/>
                <w:w w:val="105"/>
                <w:szCs w:val="18"/>
                <w:lang w:val="fr-FR"/>
              </w:rPr>
              <w:t>Taux</w:t>
            </w:r>
            <w:r w:rsidR="00CD1131">
              <w:rPr>
                <w:b/>
                <w:color w:val="333333"/>
                <w:w w:val="105"/>
                <w:szCs w:val="18"/>
                <w:lang w:val="fr-FR"/>
              </w:rPr>
              <w:t xml:space="preserve"> FP</w:t>
            </w:r>
            <w:r>
              <w:rPr>
                <w:b/>
                <w:color w:val="333333"/>
                <w:w w:val="105"/>
                <w:szCs w:val="18"/>
                <w:lang w:val="fr-FR"/>
              </w:rPr>
              <w:t xml:space="preserve"> 2020</w:t>
            </w:r>
          </w:p>
        </w:tc>
      </w:tr>
      <w:tr w:rsidR="002E0635" w:rsidRPr="004D564B" w:rsidTr="00083B52">
        <w:trPr>
          <w:trHeight w:val="264"/>
          <w:jc w:val="center"/>
        </w:trPr>
        <w:tc>
          <w:tcPr>
            <w:tcW w:w="7161" w:type="dxa"/>
            <w:tcBorders>
              <w:left w:val="single" w:sz="6" w:space="0" w:color="CCCCCC"/>
            </w:tcBorders>
          </w:tcPr>
          <w:p w:rsidR="002E0635" w:rsidRPr="00083B52" w:rsidRDefault="002E0635" w:rsidP="003B771B">
            <w:pPr>
              <w:pStyle w:val="TableParagraph"/>
              <w:spacing w:before="64"/>
              <w:ind w:left="82" w:right="56"/>
              <w:rPr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Entreprise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de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11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salariés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et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plus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ayant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franchi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le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seuil</w:t>
            </w:r>
            <w:r w:rsidRPr="00083B52">
              <w:rPr>
                <w:color w:val="333333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de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="00A726B8">
              <w:rPr>
                <w:color w:val="333333"/>
                <w:w w:val="105"/>
                <w:sz w:val="16"/>
                <w:szCs w:val="16"/>
                <w:lang w:val="fr-FR"/>
              </w:rPr>
              <w:t>10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salariés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en 201</w:t>
            </w:r>
            <w:r w:rsidR="00B55442" w:rsidRPr="00083B52">
              <w:rPr>
                <w:color w:val="333333"/>
                <w:w w:val="105"/>
                <w:sz w:val="16"/>
                <w:szCs w:val="16"/>
                <w:lang w:val="fr-FR"/>
              </w:rPr>
              <w:t>5 ou avant</w:t>
            </w:r>
          </w:p>
        </w:tc>
        <w:tc>
          <w:tcPr>
            <w:tcW w:w="2338" w:type="dxa"/>
          </w:tcPr>
          <w:p w:rsidR="002E0635" w:rsidRPr="00083B52" w:rsidRDefault="002E0635" w:rsidP="003B771B">
            <w:pPr>
              <w:pStyle w:val="TableParagraph"/>
              <w:spacing w:before="64"/>
              <w:ind w:left="82"/>
              <w:jc w:val="center"/>
              <w:rPr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I%</w:t>
            </w:r>
          </w:p>
        </w:tc>
      </w:tr>
      <w:tr w:rsidR="00CD1131" w:rsidRPr="004D564B" w:rsidTr="00083B52">
        <w:trPr>
          <w:trHeight w:val="264"/>
          <w:jc w:val="center"/>
        </w:trPr>
        <w:tc>
          <w:tcPr>
            <w:tcW w:w="7161" w:type="dxa"/>
            <w:tcBorders>
              <w:left w:val="single" w:sz="6" w:space="0" w:color="CCCCCC"/>
            </w:tcBorders>
          </w:tcPr>
          <w:p w:rsidR="00CD1131" w:rsidRPr="00083B52" w:rsidRDefault="00CD1131" w:rsidP="000424B0">
            <w:pPr>
              <w:pStyle w:val="TableParagraph"/>
              <w:spacing w:before="64"/>
              <w:ind w:left="82" w:right="56"/>
              <w:rPr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Entreprise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de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11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salariés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et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plus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ayant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franchi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le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seuil</w:t>
            </w:r>
            <w:r w:rsidRPr="00083B52">
              <w:rPr>
                <w:color w:val="333333"/>
                <w:spacing w:val="-9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de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11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salariés</w:t>
            </w:r>
            <w:r w:rsidRPr="00083B52">
              <w:rPr>
                <w:color w:val="333333"/>
                <w:spacing w:val="-10"/>
                <w:w w:val="105"/>
                <w:sz w:val="16"/>
                <w:szCs w:val="16"/>
                <w:lang w:val="fr-FR"/>
              </w:rPr>
              <w:t xml:space="preserve"> 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en 2016</w:t>
            </w:r>
          </w:p>
        </w:tc>
        <w:tc>
          <w:tcPr>
            <w:tcW w:w="2338" w:type="dxa"/>
          </w:tcPr>
          <w:p w:rsidR="00CD1131" w:rsidRPr="00083B52" w:rsidRDefault="00CD1131" w:rsidP="000424B0">
            <w:pPr>
              <w:pStyle w:val="TableParagraph"/>
              <w:spacing w:before="64"/>
              <w:ind w:left="82"/>
              <w:jc w:val="center"/>
              <w:rPr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90% x I%</w:t>
            </w:r>
          </w:p>
        </w:tc>
      </w:tr>
      <w:tr w:rsidR="002E0635" w:rsidRPr="004D564B" w:rsidTr="00083B52">
        <w:trPr>
          <w:trHeight w:val="269"/>
          <w:jc w:val="center"/>
        </w:trPr>
        <w:tc>
          <w:tcPr>
            <w:tcW w:w="7161" w:type="dxa"/>
            <w:tcBorders>
              <w:left w:val="single" w:sz="6" w:space="0" w:color="CCCCCC"/>
            </w:tcBorders>
          </w:tcPr>
          <w:p w:rsidR="002E0635" w:rsidRPr="00083B52" w:rsidRDefault="00D728B9" w:rsidP="003B771B">
            <w:pPr>
              <w:pStyle w:val="TableParagraph"/>
              <w:spacing w:before="64"/>
              <w:ind w:left="82"/>
              <w:rPr>
                <w:sz w:val="16"/>
                <w:szCs w:val="16"/>
                <w:lang w:val="fr-FR"/>
              </w:rPr>
            </w:pPr>
            <w:r>
              <w:rPr>
                <w:color w:val="333333"/>
                <w:w w:val="105"/>
                <w:sz w:val="16"/>
                <w:szCs w:val="16"/>
                <w:lang w:val="fr-FR"/>
              </w:rPr>
              <w:t xml:space="preserve">Entreprise </w:t>
            </w:r>
            <w:r w:rsidR="00B55442" w:rsidRPr="00083B52">
              <w:rPr>
                <w:color w:val="333333"/>
                <w:w w:val="105"/>
                <w:sz w:val="16"/>
                <w:szCs w:val="16"/>
                <w:lang w:val="fr-FR"/>
              </w:rPr>
              <w:t xml:space="preserve">de 11 salariés et plus </w:t>
            </w:r>
            <w:r w:rsidR="002E0635" w:rsidRPr="00083B52">
              <w:rPr>
                <w:color w:val="333333"/>
                <w:w w:val="105"/>
                <w:sz w:val="16"/>
                <w:szCs w:val="16"/>
                <w:lang w:val="fr-FR"/>
              </w:rPr>
              <w:t>ayant franchi le seuil de 11 salariés en 201</w:t>
            </w:r>
            <w:r w:rsidR="003B771B" w:rsidRPr="00083B52">
              <w:rPr>
                <w:color w:val="333333"/>
                <w:w w:val="105"/>
                <w:sz w:val="16"/>
                <w:szCs w:val="16"/>
                <w:lang w:val="fr-FR"/>
              </w:rPr>
              <w:t>7</w:t>
            </w:r>
          </w:p>
        </w:tc>
        <w:tc>
          <w:tcPr>
            <w:tcW w:w="2338" w:type="dxa"/>
          </w:tcPr>
          <w:p w:rsidR="002E0635" w:rsidRPr="00083B52" w:rsidRDefault="002E0635" w:rsidP="003B771B">
            <w:pPr>
              <w:pStyle w:val="TableParagraph"/>
              <w:spacing w:before="64"/>
              <w:ind w:left="82"/>
              <w:jc w:val="center"/>
              <w:rPr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70% x 1%</w:t>
            </w:r>
          </w:p>
        </w:tc>
      </w:tr>
      <w:tr w:rsidR="00B55442" w:rsidRPr="004D564B" w:rsidTr="00083B52">
        <w:trPr>
          <w:trHeight w:val="259"/>
          <w:jc w:val="center"/>
        </w:trPr>
        <w:tc>
          <w:tcPr>
            <w:tcW w:w="7161" w:type="dxa"/>
            <w:tcBorders>
              <w:left w:val="single" w:sz="6" w:space="0" w:color="CCCCCC"/>
            </w:tcBorders>
          </w:tcPr>
          <w:p w:rsidR="00B55442" w:rsidRPr="00083B52" w:rsidRDefault="00B55442" w:rsidP="003B771B">
            <w:pPr>
              <w:pStyle w:val="TableParagraph"/>
              <w:spacing w:before="64"/>
              <w:ind w:left="82"/>
              <w:rPr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Entreprise de 11 salariés et plus ayant franchi le seuil de 11 salariés en 2018 ou 2019</w:t>
            </w:r>
          </w:p>
        </w:tc>
        <w:tc>
          <w:tcPr>
            <w:tcW w:w="2338" w:type="dxa"/>
            <w:vMerge w:val="restart"/>
            <w:vAlign w:val="center"/>
          </w:tcPr>
          <w:p w:rsidR="00B55442" w:rsidRPr="00D728B9" w:rsidRDefault="00B55442" w:rsidP="00D728B9">
            <w:pPr>
              <w:pStyle w:val="TableParagraph"/>
              <w:spacing w:before="64"/>
              <w:ind w:left="83"/>
              <w:jc w:val="center"/>
              <w:rPr>
                <w:color w:val="333333"/>
                <w:w w:val="105"/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Exonéré</w:t>
            </w:r>
            <w:r w:rsidR="00D728B9">
              <w:rPr>
                <w:color w:val="333333"/>
                <w:w w:val="105"/>
                <w:sz w:val="16"/>
                <w:szCs w:val="16"/>
                <w:lang w:val="fr-FR"/>
              </w:rPr>
              <w:t>e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 xml:space="preserve"> des </w:t>
            </w:r>
            <w:r w:rsidR="00D728B9">
              <w:rPr>
                <w:color w:val="333333"/>
                <w:w w:val="105"/>
                <w:sz w:val="16"/>
                <w:szCs w:val="16"/>
                <w:lang w:val="fr-FR"/>
              </w:rPr>
              <w:t>contributions plus de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 xml:space="preserve"> 11 </w:t>
            </w:r>
            <w:r w:rsidR="00D728B9">
              <w:rPr>
                <w:color w:val="333333"/>
                <w:w w:val="105"/>
                <w:sz w:val="16"/>
                <w:szCs w:val="16"/>
                <w:lang w:val="fr-FR"/>
              </w:rPr>
              <w:t xml:space="preserve">salariés </w:t>
            </w:r>
            <w:r w:rsidR="00D728B9">
              <w:rPr>
                <w:color w:val="333333"/>
                <w:w w:val="105"/>
                <w:sz w:val="16"/>
                <w:szCs w:val="16"/>
                <w:lang w:val="fr-FR"/>
              </w:rPr>
              <w:br/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 xml:space="preserve">donc </w:t>
            </w:r>
            <w:r w:rsidR="00D728B9">
              <w:rPr>
                <w:color w:val="333333"/>
                <w:w w:val="105"/>
                <w:sz w:val="16"/>
                <w:szCs w:val="16"/>
                <w:lang w:val="fr-FR"/>
              </w:rPr>
              <w:t>pas d’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’acompte</w:t>
            </w:r>
          </w:p>
        </w:tc>
      </w:tr>
      <w:tr w:rsidR="00B55442" w:rsidRPr="004D564B" w:rsidTr="00083B52">
        <w:trPr>
          <w:trHeight w:val="259"/>
          <w:jc w:val="center"/>
        </w:trPr>
        <w:tc>
          <w:tcPr>
            <w:tcW w:w="7161" w:type="dxa"/>
            <w:tcBorders>
              <w:left w:val="single" w:sz="6" w:space="0" w:color="CCCCCC"/>
              <w:bottom w:val="single" w:sz="6" w:space="0" w:color="CCCCCC"/>
            </w:tcBorders>
          </w:tcPr>
          <w:p w:rsidR="00B55442" w:rsidRPr="00083B52" w:rsidRDefault="00B55442" w:rsidP="003B771B">
            <w:pPr>
              <w:pStyle w:val="TableParagraph"/>
              <w:spacing w:before="64"/>
              <w:ind w:left="82"/>
              <w:rPr>
                <w:color w:val="333333"/>
                <w:w w:val="105"/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Entreprise franchissant le seuil de 11 salariés en 2020 :</w:t>
            </w:r>
          </w:p>
          <w:p w:rsidR="00B55442" w:rsidRPr="00083B52" w:rsidRDefault="00B55442" w:rsidP="00B55442">
            <w:pPr>
              <w:pStyle w:val="TableParagraph"/>
              <w:spacing w:before="64"/>
              <w:ind w:left="82"/>
              <w:rPr>
                <w:color w:val="333333"/>
                <w:w w:val="105"/>
                <w:sz w:val="16"/>
                <w:szCs w:val="16"/>
                <w:lang w:val="fr-FR"/>
              </w:rPr>
            </w:pP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>1</w:t>
            </w:r>
            <w:r w:rsidRPr="00083B52">
              <w:rPr>
                <w:color w:val="333333"/>
                <w:w w:val="105"/>
                <w:sz w:val="16"/>
                <w:szCs w:val="16"/>
                <w:vertAlign w:val="superscript"/>
                <w:lang w:val="fr-FR"/>
              </w:rPr>
              <w:t>ère</w:t>
            </w:r>
            <w:r w:rsidRPr="00083B52">
              <w:rPr>
                <w:color w:val="333333"/>
                <w:w w:val="105"/>
                <w:sz w:val="16"/>
                <w:szCs w:val="16"/>
                <w:lang w:val="fr-FR"/>
              </w:rPr>
              <w:t xml:space="preserve"> année d’application de la loi PACTE : l’entreprise reste assujettie aux contributions de -11 tant qu’elle ne reste pas 5 années consécutivement au-dessus du seuil de 11 salariés et plus</w:t>
            </w:r>
          </w:p>
        </w:tc>
        <w:tc>
          <w:tcPr>
            <w:tcW w:w="2338" w:type="dxa"/>
            <w:vMerge/>
            <w:tcBorders>
              <w:bottom w:val="single" w:sz="6" w:space="0" w:color="CCCCCC"/>
            </w:tcBorders>
          </w:tcPr>
          <w:p w:rsidR="00B55442" w:rsidRPr="004D564B" w:rsidRDefault="00B55442" w:rsidP="003B771B">
            <w:pPr>
              <w:pStyle w:val="TableParagraph"/>
              <w:spacing w:before="64"/>
              <w:ind w:left="83"/>
              <w:jc w:val="center"/>
              <w:rPr>
                <w:color w:val="333333"/>
                <w:w w:val="105"/>
                <w:szCs w:val="18"/>
                <w:lang w:val="fr-FR"/>
              </w:rPr>
            </w:pPr>
          </w:p>
        </w:tc>
      </w:tr>
    </w:tbl>
    <w:p w:rsidR="002E0635" w:rsidRPr="002463F2" w:rsidRDefault="002E0635" w:rsidP="00FF71B5">
      <w:pPr>
        <w:rPr>
          <w:color w:val="333333"/>
          <w:w w:val="105"/>
          <w:sz w:val="10"/>
          <w:szCs w:val="10"/>
        </w:rPr>
      </w:pPr>
    </w:p>
    <w:p w:rsidR="00FF71B5" w:rsidRPr="00411081" w:rsidRDefault="00C85655" w:rsidP="00D05313">
      <w:pPr>
        <w:rPr>
          <w:color w:val="333333"/>
          <w:w w:val="105"/>
        </w:rPr>
      </w:pPr>
      <w:r>
        <w:rPr>
          <w:b/>
          <w:color w:val="333333"/>
          <w:w w:val="105"/>
        </w:rPr>
        <w:t>Attention :</w:t>
      </w:r>
      <w:r w:rsidR="004C545D">
        <w:rPr>
          <w:b/>
          <w:color w:val="333333"/>
          <w:w w:val="105"/>
        </w:rPr>
        <w:t xml:space="preserve"> </w:t>
      </w:r>
      <w:r w:rsidR="004C545D" w:rsidRPr="004C545D">
        <w:rPr>
          <w:color w:val="333333"/>
          <w:w w:val="105"/>
        </w:rPr>
        <w:t>Les</w:t>
      </w:r>
      <w:r w:rsidR="00FF71B5" w:rsidRPr="004C545D">
        <w:rPr>
          <w:color w:val="333333"/>
          <w:w w:val="105"/>
        </w:rPr>
        <w:t xml:space="preserve"> </w:t>
      </w:r>
      <w:r w:rsidR="00FF71B5" w:rsidRPr="004E2E4F">
        <w:rPr>
          <w:color w:val="333333"/>
          <w:w w:val="105"/>
        </w:rPr>
        <w:t>dispositif</w:t>
      </w:r>
      <w:r w:rsidR="004C545D">
        <w:rPr>
          <w:color w:val="333333"/>
          <w:w w:val="105"/>
        </w:rPr>
        <w:t>s</w:t>
      </w:r>
      <w:r w:rsidR="00FF71B5" w:rsidRPr="004E2E4F">
        <w:rPr>
          <w:color w:val="333333"/>
          <w:w w:val="105"/>
        </w:rPr>
        <w:t xml:space="preserve"> </w:t>
      </w:r>
      <w:r>
        <w:rPr>
          <w:color w:val="333333"/>
          <w:w w:val="105"/>
        </w:rPr>
        <w:t>de lissage</w:t>
      </w:r>
      <w:r w:rsidR="00FF71B5" w:rsidRPr="004E2E4F">
        <w:rPr>
          <w:color w:val="333333"/>
          <w:w w:val="105"/>
        </w:rPr>
        <w:t xml:space="preserve"> </w:t>
      </w:r>
      <w:r w:rsidR="00FF71B5" w:rsidRPr="00411081">
        <w:rPr>
          <w:color w:val="333333"/>
          <w:w w:val="105"/>
        </w:rPr>
        <w:t>ne s'applique</w:t>
      </w:r>
      <w:r w:rsidR="00534F9F" w:rsidRPr="00411081">
        <w:rPr>
          <w:color w:val="333333"/>
          <w:w w:val="105"/>
        </w:rPr>
        <w:t>nt</w:t>
      </w:r>
      <w:r w:rsidR="00FF71B5" w:rsidRPr="00411081">
        <w:rPr>
          <w:color w:val="333333"/>
          <w:w w:val="105"/>
        </w:rPr>
        <w:t xml:space="preserve"> pas</w:t>
      </w:r>
      <w:r w:rsidR="00A726B8">
        <w:rPr>
          <w:color w:val="333333"/>
          <w:w w:val="105"/>
        </w:rPr>
        <w:t xml:space="preserve"> </w:t>
      </w:r>
      <w:r w:rsidR="00FF71B5" w:rsidRPr="00411081">
        <w:rPr>
          <w:color w:val="333333"/>
          <w:w w:val="105"/>
        </w:rPr>
        <w:t>:</w:t>
      </w:r>
    </w:p>
    <w:p w:rsidR="00FF71B5" w:rsidRPr="004E2E4F" w:rsidRDefault="00FF71B5" w:rsidP="00B55442">
      <w:pPr>
        <w:pStyle w:val="Paragraphedeliste"/>
        <w:ind w:left="567" w:hanging="284"/>
      </w:pPr>
      <w:r w:rsidRPr="004E2E4F">
        <w:t>aux employeurs qui atteignent ou dépassent le seuil de 11 salariés dè</w:t>
      </w:r>
      <w:r w:rsidR="00D05313">
        <w:t>s la première année d'activité</w:t>
      </w:r>
    </w:p>
    <w:p w:rsidR="002425F5" w:rsidRDefault="00FF71B5" w:rsidP="00B55442">
      <w:pPr>
        <w:pStyle w:val="Paragraphedeliste"/>
        <w:ind w:left="567" w:hanging="284"/>
      </w:pPr>
      <w:r w:rsidRPr="004E2E4F">
        <w:t>aux</w:t>
      </w:r>
      <w:r w:rsidRPr="004E2E4F">
        <w:rPr>
          <w:spacing w:val="-11"/>
        </w:rPr>
        <w:t xml:space="preserve"> </w:t>
      </w:r>
      <w:r w:rsidRPr="004E2E4F">
        <w:t>employeurs</w:t>
      </w:r>
      <w:r w:rsidRPr="004E2E4F">
        <w:rPr>
          <w:spacing w:val="-11"/>
        </w:rPr>
        <w:t xml:space="preserve"> </w:t>
      </w:r>
      <w:r w:rsidRPr="004E2E4F">
        <w:t>qui</w:t>
      </w:r>
      <w:r w:rsidRPr="004E2E4F">
        <w:rPr>
          <w:spacing w:val="-11"/>
        </w:rPr>
        <w:t xml:space="preserve"> </w:t>
      </w:r>
      <w:r w:rsidRPr="004E2E4F">
        <w:t>absorbent</w:t>
      </w:r>
      <w:r w:rsidRPr="004E2E4F">
        <w:rPr>
          <w:spacing w:val="-10"/>
        </w:rPr>
        <w:t xml:space="preserve"> </w:t>
      </w:r>
      <w:r w:rsidRPr="004E2E4F">
        <w:t>une</w:t>
      </w:r>
      <w:r w:rsidRPr="004E2E4F">
        <w:rPr>
          <w:spacing w:val="-11"/>
        </w:rPr>
        <w:t xml:space="preserve"> </w:t>
      </w:r>
      <w:r w:rsidRPr="004E2E4F">
        <w:t>entreprise</w:t>
      </w:r>
      <w:r w:rsidRPr="004E2E4F">
        <w:rPr>
          <w:spacing w:val="-12"/>
        </w:rPr>
        <w:t xml:space="preserve"> </w:t>
      </w:r>
      <w:r w:rsidRPr="004E2E4F">
        <w:t>qui</w:t>
      </w:r>
      <w:r w:rsidRPr="004E2E4F">
        <w:rPr>
          <w:spacing w:val="-11"/>
        </w:rPr>
        <w:t xml:space="preserve"> </w:t>
      </w:r>
      <w:r w:rsidRPr="004E2E4F">
        <w:t>employait</w:t>
      </w:r>
      <w:r w:rsidRPr="004E2E4F">
        <w:rPr>
          <w:spacing w:val="-11"/>
        </w:rPr>
        <w:t xml:space="preserve"> </w:t>
      </w:r>
      <w:r w:rsidRPr="004E2E4F">
        <w:t>déjà</w:t>
      </w:r>
      <w:r w:rsidRPr="004E2E4F">
        <w:rPr>
          <w:spacing w:val="-10"/>
        </w:rPr>
        <w:t xml:space="preserve"> </w:t>
      </w:r>
      <w:r w:rsidRPr="004E2E4F">
        <w:t>11</w:t>
      </w:r>
      <w:r w:rsidRPr="004E2E4F">
        <w:rPr>
          <w:spacing w:val="-11"/>
        </w:rPr>
        <w:t xml:space="preserve"> </w:t>
      </w:r>
      <w:r w:rsidRPr="004E2E4F">
        <w:t>salariés</w:t>
      </w:r>
      <w:r w:rsidRPr="004E2E4F">
        <w:rPr>
          <w:spacing w:val="-11"/>
        </w:rPr>
        <w:t xml:space="preserve"> </w:t>
      </w:r>
      <w:r w:rsidRPr="004E2E4F">
        <w:t>ou</w:t>
      </w:r>
      <w:r w:rsidRPr="004E2E4F">
        <w:rPr>
          <w:spacing w:val="-11"/>
        </w:rPr>
        <w:t xml:space="preserve"> </w:t>
      </w:r>
      <w:r w:rsidRPr="004E2E4F">
        <w:t>plus</w:t>
      </w:r>
      <w:r w:rsidRPr="004E2E4F">
        <w:rPr>
          <w:spacing w:val="-11"/>
        </w:rPr>
        <w:t xml:space="preserve"> </w:t>
      </w:r>
      <w:r w:rsidRPr="004E2E4F">
        <w:t>au</w:t>
      </w:r>
      <w:r w:rsidRPr="004E2E4F">
        <w:rPr>
          <w:spacing w:val="-11"/>
        </w:rPr>
        <w:t xml:space="preserve"> </w:t>
      </w:r>
      <w:r w:rsidRPr="004E2E4F">
        <w:t>cours</w:t>
      </w:r>
      <w:r w:rsidRPr="004E2E4F">
        <w:rPr>
          <w:spacing w:val="-10"/>
        </w:rPr>
        <w:t xml:space="preserve"> </w:t>
      </w:r>
      <w:r w:rsidRPr="004E2E4F">
        <w:t>de</w:t>
      </w:r>
      <w:r w:rsidRPr="004E2E4F">
        <w:rPr>
          <w:spacing w:val="-11"/>
        </w:rPr>
        <w:t xml:space="preserve"> </w:t>
      </w:r>
      <w:r w:rsidRPr="004E2E4F">
        <w:t>l'une</w:t>
      </w:r>
      <w:r w:rsidRPr="004E2E4F">
        <w:rPr>
          <w:spacing w:val="-11"/>
        </w:rPr>
        <w:t xml:space="preserve"> </w:t>
      </w:r>
      <w:r w:rsidRPr="004E2E4F">
        <w:t>des</w:t>
      </w:r>
      <w:r w:rsidRPr="004E2E4F">
        <w:rPr>
          <w:spacing w:val="-11"/>
        </w:rPr>
        <w:t xml:space="preserve"> </w:t>
      </w:r>
      <w:r w:rsidRPr="004E2E4F">
        <w:t>trois années</w:t>
      </w:r>
      <w:r w:rsidRPr="004E2E4F">
        <w:rPr>
          <w:spacing w:val="-2"/>
        </w:rPr>
        <w:t xml:space="preserve"> </w:t>
      </w:r>
      <w:r w:rsidRPr="004E2E4F">
        <w:t>précédentes.</w:t>
      </w:r>
    </w:p>
    <w:p w:rsidR="00D728B9" w:rsidRDefault="00D728B9" w:rsidP="00D728B9"/>
    <w:p w:rsidR="00D728B9" w:rsidRDefault="00D728B9" w:rsidP="00D728B9">
      <w:pPr>
        <w:pStyle w:val="Paragraphedeliste"/>
        <w:numPr>
          <w:ilvl w:val="0"/>
          <w:numId w:val="39"/>
        </w:numPr>
      </w:pPr>
      <w:r>
        <w:t>Pour plus d’information sur les calculs d’effectifs et MSB, voir document « Aide sur le calcul effectifs salariés, MSB totale et MSB CDD »</w:t>
      </w:r>
    </w:p>
    <w:p w:rsidR="002463F2" w:rsidRPr="00432B59" w:rsidRDefault="002463F2" w:rsidP="00432B59">
      <w:pPr>
        <w:rPr>
          <w:sz w:val="10"/>
          <w:szCs w:val="10"/>
        </w:rPr>
      </w:pPr>
    </w:p>
    <w:p w:rsidR="00AC2A03" w:rsidRPr="004E2E4F" w:rsidRDefault="00CF721A" w:rsidP="004E2E4F">
      <w:pPr>
        <w:pStyle w:val="Titre1"/>
      </w:pPr>
      <w:bookmarkStart w:id="2" w:name="_Toc52213705"/>
      <w:r>
        <w:lastRenderedPageBreak/>
        <w:t>3</w:t>
      </w:r>
      <w:r w:rsidR="00AC2A03" w:rsidRPr="004E2E4F">
        <w:t xml:space="preserve"> – </w:t>
      </w:r>
      <w:r>
        <w:t>Rappel sur l’a</w:t>
      </w:r>
      <w:r w:rsidR="00AC2A03" w:rsidRPr="004E2E4F">
        <w:t>ssujettissement à la taxe d’apprentissage</w:t>
      </w:r>
      <w:bookmarkEnd w:id="2"/>
      <w:r w:rsidR="00AC2A03" w:rsidRPr="004E2E4F">
        <w:t xml:space="preserve"> </w:t>
      </w:r>
    </w:p>
    <w:p w:rsidR="005F4B74" w:rsidRPr="002463F2" w:rsidRDefault="005F4B74" w:rsidP="005F4B74">
      <w:pPr>
        <w:tabs>
          <w:tab w:val="left" w:pos="600"/>
        </w:tabs>
        <w:rPr>
          <w:sz w:val="10"/>
          <w:szCs w:val="10"/>
        </w:rPr>
      </w:pPr>
    </w:p>
    <w:p w:rsidR="005F4B74" w:rsidRDefault="005858E1" w:rsidP="00093EEF">
      <w:pPr>
        <w:rPr>
          <w:szCs w:val="18"/>
        </w:rPr>
      </w:pPr>
      <w:r w:rsidRPr="00093EEF">
        <w:rPr>
          <w:szCs w:val="18"/>
        </w:rPr>
        <w:t>Les règles d’assujettissement au volet apprentissage de</w:t>
      </w:r>
      <w:r>
        <w:rPr>
          <w:szCs w:val="18"/>
        </w:rPr>
        <w:t xml:space="preserve"> la contribution unique (Cufpa</w:t>
      </w:r>
      <w:r w:rsidR="00D10EAC">
        <w:rPr>
          <w:szCs w:val="18"/>
        </w:rPr>
        <w:t>)</w:t>
      </w:r>
      <w:r w:rsidR="00173582">
        <w:rPr>
          <w:szCs w:val="18"/>
        </w:rPr>
        <w:t xml:space="preserve"> exigible depuis</w:t>
      </w:r>
      <w:r>
        <w:rPr>
          <w:szCs w:val="18"/>
        </w:rPr>
        <w:t xml:space="preserve"> de 2020</w:t>
      </w:r>
      <w:r w:rsidR="00173582">
        <w:rPr>
          <w:szCs w:val="18"/>
        </w:rPr>
        <w:t xml:space="preserve"> </w:t>
      </w:r>
      <w:r w:rsidRPr="00093EEF">
        <w:rPr>
          <w:szCs w:val="18"/>
        </w:rPr>
        <w:t>sont les mêmes que celles de l’ancienne</w:t>
      </w:r>
      <w:r w:rsidR="00CF721A">
        <w:rPr>
          <w:szCs w:val="18"/>
        </w:rPr>
        <w:t xml:space="preserve"> taxe d’apprentissage. </w:t>
      </w:r>
      <w:r w:rsidR="00D10EAC">
        <w:rPr>
          <w:szCs w:val="18"/>
        </w:rPr>
        <w:t>En conséquence, l</w:t>
      </w:r>
      <w:r w:rsidR="005F4B74" w:rsidRPr="00093EEF">
        <w:rPr>
          <w:szCs w:val="18"/>
        </w:rPr>
        <w:t xml:space="preserve">a part Apprentissage de la CUFPA </w:t>
      </w:r>
      <w:r w:rsidR="00CF721A">
        <w:rPr>
          <w:szCs w:val="18"/>
        </w:rPr>
        <w:t>est due</w:t>
      </w:r>
      <w:r w:rsidR="005F4B74" w:rsidRPr="00093EEF">
        <w:rPr>
          <w:szCs w:val="18"/>
        </w:rPr>
        <w:t xml:space="preserve"> uniquement pour les entreprises assujetties à la taxe d’apprentissage.</w:t>
      </w:r>
    </w:p>
    <w:p w:rsidR="00CF721A" w:rsidRDefault="00CF721A" w:rsidP="00093EEF">
      <w:pPr>
        <w:rPr>
          <w:szCs w:val="18"/>
        </w:rPr>
      </w:pPr>
      <w:r>
        <w:rPr>
          <w:szCs w:val="18"/>
        </w:rPr>
        <w:t xml:space="preserve">Si vous n’êtes pas assujettie à la taxe d’apprentissage, veuillez cocher la case </w:t>
      </w:r>
      <w:r w:rsidR="00121E5A">
        <w:rPr>
          <w:szCs w:val="18"/>
        </w:rPr>
        <w:t xml:space="preserve">prévue </w:t>
      </w:r>
      <w:r>
        <w:rPr>
          <w:szCs w:val="18"/>
        </w:rPr>
        <w:t>à cet effet sur le bordereau</w:t>
      </w:r>
    </w:p>
    <w:p w:rsidR="00093EEF" w:rsidRDefault="0004012F" w:rsidP="0004012F">
      <w:pPr>
        <w:pStyle w:val="Titre2"/>
      </w:pPr>
      <w:r>
        <w:t xml:space="preserve">a) </w:t>
      </w:r>
      <w:r w:rsidR="00093EEF" w:rsidRPr="0004012F">
        <w:t>Entreprises</w:t>
      </w:r>
      <w:r w:rsidR="00093EEF" w:rsidRPr="00093EEF">
        <w:t xml:space="preserve"> </w:t>
      </w:r>
      <w:r w:rsidR="00F75818">
        <w:t>redevables de</w:t>
      </w:r>
      <w:r w:rsidR="00D10EAC">
        <w:t xml:space="preserve"> la taxe d’apprentissage</w:t>
      </w:r>
    </w:p>
    <w:p w:rsidR="0004012F" w:rsidRDefault="0004012F" w:rsidP="0004012F">
      <w:r>
        <w:t xml:space="preserve">1° Les entreprises individuelles, les sociétés soumises au régime fiscal des sociétés de personnes, imposées à l’impôt sur le revenu au titre des bénéfices industriels et commerciaux (BIC). </w:t>
      </w:r>
    </w:p>
    <w:p w:rsidR="0004012F" w:rsidRPr="00D24B81" w:rsidRDefault="0004012F" w:rsidP="0004012F">
      <w:pPr>
        <w:pStyle w:val="Paragraphedeliste"/>
        <w:numPr>
          <w:ilvl w:val="0"/>
          <w:numId w:val="36"/>
        </w:numPr>
        <w:rPr>
          <w:b/>
        </w:rPr>
      </w:pPr>
      <w:r w:rsidRPr="00D24B81">
        <w:rPr>
          <w:b/>
        </w:rPr>
        <w:t>En conséquence, ne sont pas redevables,  les entreprises exerçant une activité imposée à l’impôt sur le revenu au titre des bénéfices agricole</w:t>
      </w:r>
      <w:r w:rsidR="00D72B86">
        <w:rPr>
          <w:b/>
        </w:rPr>
        <w:t>s</w:t>
      </w:r>
      <w:r w:rsidRPr="00D24B81">
        <w:rPr>
          <w:b/>
        </w:rPr>
        <w:t xml:space="preserve"> (BA) ou non commerciaux (BNC).</w:t>
      </w:r>
    </w:p>
    <w:p w:rsidR="00BA5EF6" w:rsidRDefault="0004012F" w:rsidP="005A6759">
      <w:r>
        <w:t>2° Les sociétés, associations et organismes soumis à l'impôt sur les sociétés (IS) quel que soit leur objet</w:t>
      </w:r>
      <w:r w:rsidR="005A6759">
        <w:t xml:space="preserve">, </w:t>
      </w:r>
    </w:p>
    <w:p w:rsidR="0004012F" w:rsidRPr="00BA5EF6" w:rsidRDefault="00BA5EF6" w:rsidP="00BA5EF6">
      <w:pPr>
        <w:pStyle w:val="Paragraphedeliste"/>
        <w:numPr>
          <w:ilvl w:val="0"/>
          <w:numId w:val="36"/>
        </w:numPr>
        <w:rPr>
          <w:b/>
        </w:rPr>
      </w:pPr>
      <w:r w:rsidRPr="00BA5EF6">
        <w:rPr>
          <w:b/>
        </w:rPr>
        <w:t>A</w:t>
      </w:r>
      <w:r w:rsidR="005A6759" w:rsidRPr="00BA5EF6">
        <w:rPr>
          <w:b/>
        </w:rPr>
        <w:t xml:space="preserve"> l’exception des organismes sans</w:t>
      </w:r>
      <w:r w:rsidRPr="00BA5EF6">
        <w:rPr>
          <w:b/>
        </w:rPr>
        <w:t xml:space="preserve"> </w:t>
      </w:r>
      <w:r w:rsidR="005A6759" w:rsidRPr="00BA5EF6">
        <w:rPr>
          <w:b/>
        </w:rPr>
        <w:t>but lucratif soumis à cet impôt uniquement en raison de leurs revenus fonciers, agricoles ou mobiliers</w:t>
      </w:r>
      <w:r w:rsidRPr="00BA5EF6">
        <w:rPr>
          <w:b/>
        </w:rPr>
        <w:t xml:space="preserve"> </w:t>
      </w:r>
      <w:r>
        <w:rPr>
          <w:b/>
        </w:rPr>
        <w:t>soumis</w:t>
      </w:r>
      <w:r w:rsidRPr="00BA5EF6">
        <w:rPr>
          <w:b/>
        </w:rPr>
        <w:t xml:space="preserve"> à l’impôt sur les sociétés selon un régime atténué</w:t>
      </w:r>
      <w:r>
        <w:rPr>
          <w:b/>
        </w:rPr>
        <w:t>.</w:t>
      </w:r>
    </w:p>
    <w:p w:rsidR="0004012F" w:rsidRDefault="00F75818" w:rsidP="0004012F">
      <w:r>
        <w:t>3° L</w:t>
      </w:r>
      <w:r w:rsidR="0004012F">
        <w:t>es sociétés coopératives de production, transformation, conservation et vente de produits agricoles, ainsi que par leurs unions, quelles que soient les opérations poursuivies par ces sociétés ou unions ;</w:t>
      </w:r>
    </w:p>
    <w:p w:rsidR="0004012F" w:rsidRDefault="00F75818" w:rsidP="0004012F">
      <w:r>
        <w:t>4° L</w:t>
      </w:r>
      <w:r w:rsidR="0004012F">
        <w:t xml:space="preserve">es groupements d'intérêt économique </w:t>
      </w:r>
      <w:r>
        <w:t>dont l’activité est industrielle, commerciale ou artisanale.</w:t>
      </w:r>
    </w:p>
    <w:p w:rsidR="00F75818" w:rsidRDefault="00F75818" w:rsidP="00F75818">
      <w:pPr>
        <w:pStyle w:val="Titre2"/>
      </w:pPr>
      <w:r>
        <w:t>b) Entreprises exonérées d</w:t>
      </w:r>
      <w:r w:rsidR="00D72B86">
        <w:t>e</w:t>
      </w:r>
      <w:r>
        <w:t xml:space="preserve"> la taxe d’apprentissage</w:t>
      </w:r>
    </w:p>
    <w:p w:rsidR="0004012F" w:rsidRPr="00D24B81" w:rsidRDefault="0004012F" w:rsidP="0004012F">
      <w:pPr>
        <w:rPr>
          <w:b/>
        </w:rPr>
      </w:pPr>
      <w:r w:rsidRPr="00D24B81">
        <w:rPr>
          <w:b/>
        </w:rPr>
        <w:t xml:space="preserve">Sont </w:t>
      </w:r>
      <w:r w:rsidR="00D72B86">
        <w:rPr>
          <w:b/>
        </w:rPr>
        <w:t>exonérés</w:t>
      </w:r>
      <w:r w:rsidR="00F75818" w:rsidRPr="00D24B81">
        <w:rPr>
          <w:b/>
        </w:rPr>
        <w:t xml:space="preserve"> de droit</w:t>
      </w:r>
      <w:r w:rsidRPr="00D24B81">
        <w:rPr>
          <w:b/>
        </w:rPr>
        <w:t xml:space="preserve"> :</w:t>
      </w:r>
    </w:p>
    <w:p w:rsidR="0004012F" w:rsidRDefault="0004012F" w:rsidP="0004012F">
      <w:r>
        <w:t>1° Les entreprises</w:t>
      </w:r>
      <w:r w:rsidR="00F75818">
        <w:t>, quelle que soit leur forme juridique, qui emploi</w:t>
      </w:r>
      <w:r w:rsidR="00D24B81">
        <w:t>e</w:t>
      </w:r>
      <w:r w:rsidR="00D72B86">
        <w:t>nt</w:t>
      </w:r>
      <w:r w:rsidR="00F75818">
        <w:t xml:space="preserve"> un ou plusieurs apprentis (quel</w:t>
      </w:r>
      <w:r w:rsidR="00D24B81">
        <w:t>le</w:t>
      </w:r>
      <w:r w:rsidR="00F75818">
        <w:t xml:space="preserve"> que soit la durée du contrat d’apprentissage au cours de l’année dès lors qu’il a été enregistré </w:t>
      </w:r>
      <w:r w:rsidR="00D24B81">
        <w:t>auprès des services compétent</w:t>
      </w:r>
      <w:r w:rsidR="00D72B86">
        <w:t>s</w:t>
      </w:r>
      <w:r w:rsidR="00D24B81">
        <w:t>)</w:t>
      </w:r>
      <w:r>
        <w:t xml:space="preserve"> </w:t>
      </w:r>
      <w:r w:rsidR="00D24B81">
        <w:t>et dont</w:t>
      </w:r>
      <w:r>
        <w:t xml:space="preserve"> la base annuelle d'imposition </w:t>
      </w:r>
      <w:r w:rsidR="00D24B81">
        <w:t xml:space="preserve">(MSB) </w:t>
      </w:r>
      <w:r>
        <w:t xml:space="preserve"> n'excède pas six fois le </w:t>
      </w:r>
      <w:r w:rsidR="00D24B81">
        <w:t>SMIC annuel.</w:t>
      </w:r>
    </w:p>
    <w:p w:rsidR="0004012F" w:rsidRDefault="0004012F" w:rsidP="0004012F">
      <w:r>
        <w:t>2° Les sociétés et personnes morales ayant pour objet exclusif le</w:t>
      </w:r>
      <w:r w:rsidR="00D24B81">
        <w:t>s divers ordres d'enseignement.</w:t>
      </w:r>
    </w:p>
    <w:p w:rsidR="00BA5EF6" w:rsidRDefault="0004012F" w:rsidP="00BA5EF6">
      <w:pPr>
        <w:rPr>
          <w:szCs w:val="18"/>
        </w:rPr>
      </w:pPr>
      <w:r>
        <w:t>3° Les groupements d'employeurs composés d'agriculteurs ou de sociétés civiles agricoles bénéficiant de l'exonération</w:t>
      </w:r>
      <w:r w:rsidR="00D24B81">
        <w:t xml:space="preserve"> de la taxe d’apprentissage</w:t>
      </w:r>
      <w:r>
        <w:t xml:space="preserve">, </w:t>
      </w:r>
      <w:r w:rsidR="00D24B81">
        <w:t xml:space="preserve">et autres groupements </w:t>
      </w:r>
      <w:r>
        <w:t>à proportion des rémunérations versées dans le cadre de la mise à disposition de personnel aux adhérents non assujettis ou bénéficiant d'une exo</w:t>
      </w:r>
      <w:r w:rsidR="00D72B86">
        <w:t>nération</w:t>
      </w:r>
      <w:r>
        <w:t xml:space="preserve"> </w:t>
      </w:r>
      <w:r w:rsidR="00D24B81">
        <w:t>de la taxe d’apprentissage.</w:t>
      </w:r>
      <w:r w:rsidR="00BA5EF6" w:rsidRPr="00BA5EF6">
        <w:rPr>
          <w:szCs w:val="18"/>
        </w:rPr>
        <w:t xml:space="preserve"> </w:t>
      </w:r>
    </w:p>
    <w:p w:rsidR="00D24B81" w:rsidRPr="00BA5EF6" w:rsidRDefault="00D24B81" w:rsidP="00D24B81">
      <w:pPr>
        <w:rPr>
          <w:sz w:val="10"/>
          <w:szCs w:val="10"/>
        </w:rPr>
      </w:pPr>
    </w:p>
    <w:p w:rsidR="00D24B81" w:rsidRPr="00D24B81" w:rsidRDefault="00D24B81" w:rsidP="00D24B81">
      <w:pPr>
        <w:rPr>
          <w:b/>
        </w:rPr>
      </w:pPr>
      <w:r w:rsidRPr="00D24B81">
        <w:rPr>
          <w:b/>
        </w:rPr>
        <w:t>Sont e</w:t>
      </w:r>
      <w:r>
        <w:rPr>
          <w:b/>
        </w:rPr>
        <w:t>xonérée</w:t>
      </w:r>
      <w:r w:rsidR="00432B59">
        <w:rPr>
          <w:b/>
        </w:rPr>
        <w:t>s</w:t>
      </w:r>
      <w:r>
        <w:rPr>
          <w:b/>
        </w:rPr>
        <w:t xml:space="preserve"> de fait</w:t>
      </w:r>
      <w:r w:rsidRPr="00D24B81">
        <w:rPr>
          <w:b/>
        </w:rPr>
        <w:t xml:space="preserve"> :</w:t>
      </w:r>
    </w:p>
    <w:p w:rsidR="00587AEC" w:rsidRDefault="00587AEC" w:rsidP="00D24B81">
      <w:r w:rsidRPr="00587AEC">
        <w:t xml:space="preserve">Les sociétés à objet agricole </w:t>
      </w:r>
      <w:r>
        <w:t>(</w:t>
      </w:r>
      <w:r w:rsidRPr="00587AEC">
        <w:t>autres que celles visées à l'article 53 bis de l'annexe III au CGI et à l'article 53 ter de l'annexe III au CGI</w:t>
      </w:r>
      <w:r>
        <w:t>)</w:t>
      </w:r>
      <w:r w:rsidRPr="00587AEC">
        <w:t xml:space="preserve"> peuvent être exonérées, de fait, de taxe d'apprentissage, à défaut de base imposable (BOI-TPS-TA-20 au III-D § 50).</w:t>
      </w:r>
    </w:p>
    <w:p w:rsidR="00D24B81" w:rsidRPr="00093EEF" w:rsidRDefault="00D24B81" w:rsidP="00D24B81">
      <w:pPr>
        <w:pStyle w:val="Titre2"/>
      </w:pPr>
      <w:r>
        <w:t xml:space="preserve">c) </w:t>
      </w:r>
      <w:r w:rsidRPr="00093EEF">
        <w:t>Trois conditions cumulatives d'assujettissement</w:t>
      </w:r>
    </w:p>
    <w:p w:rsidR="00D24B81" w:rsidRPr="00093EEF" w:rsidRDefault="00D24B81" w:rsidP="00D24B81">
      <w:pPr>
        <w:rPr>
          <w:szCs w:val="18"/>
        </w:rPr>
      </w:pPr>
      <w:r w:rsidRPr="00093EEF">
        <w:rPr>
          <w:szCs w:val="18"/>
        </w:rPr>
        <w:t>La taxe d’apprentissage est due par toute entreprise :</w:t>
      </w:r>
    </w:p>
    <w:p w:rsidR="00D24B81" w:rsidRPr="00093EEF" w:rsidRDefault="00D24B81" w:rsidP="00D24B81">
      <w:pPr>
        <w:rPr>
          <w:szCs w:val="18"/>
        </w:rPr>
      </w:pPr>
      <w:r w:rsidRPr="00093EEF">
        <w:rPr>
          <w:szCs w:val="18"/>
        </w:rPr>
        <w:t>– employant au moins un salarié ;</w:t>
      </w:r>
    </w:p>
    <w:p w:rsidR="00D24B81" w:rsidRPr="00093EEF" w:rsidRDefault="00D24B81" w:rsidP="00D24B81">
      <w:pPr>
        <w:rPr>
          <w:szCs w:val="18"/>
        </w:rPr>
      </w:pPr>
      <w:r w:rsidRPr="00093EEF">
        <w:rPr>
          <w:szCs w:val="18"/>
        </w:rPr>
        <w:t>– domiciliée ou établie en France ;</w:t>
      </w:r>
    </w:p>
    <w:p w:rsidR="00606919" w:rsidRDefault="00D24B81" w:rsidP="00D24B81">
      <w:pPr>
        <w:rPr>
          <w:szCs w:val="18"/>
        </w:rPr>
      </w:pPr>
      <w:r w:rsidRPr="00093EEF">
        <w:rPr>
          <w:szCs w:val="18"/>
        </w:rPr>
        <w:t>– assujettie à l’impôt sur les sociétés (IS) ou à l’impôt sur le revenu (IR) au titre des bénéfices industriels et commerciaux.</w:t>
      </w:r>
      <w:r w:rsidR="00BB2281">
        <w:rPr>
          <w:szCs w:val="18"/>
        </w:rPr>
        <w:t xml:space="preserve"> </w:t>
      </w:r>
    </w:p>
    <w:p w:rsidR="00BB2281" w:rsidRDefault="00D24B81" w:rsidP="00926F14">
      <w:r w:rsidRPr="00093EEF">
        <w:rPr>
          <w:szCs w:val="18"/>
        </w:rPr>
        <w:t>Ces trois conditions sont cumulatives.</w:t>
      </w:r>
      <w:r w:rsidR="00606919">
        <w:rPr>
          <w:szCs w:val="18"/>
        </w:rPr>
        <w:t xml:space="preserve"> &gt; </w:t>
      </w:r>
      <w:r w:rsidR="00BA5EF6">
        <w:rPr>
          <w:b/>
        </w:rPr>
        <w:t>Voir aussi :</w:t>
      </w:r>
      <w:r w:rsidR="00BB2281">
        <w:rPr>
          <w:b/>
        </w:rPr>
        <w:t xml:space="preserve"> </w:t>
      </w:r>
      <w:r w:rsidR="00BB2281" w:rsidRPr="00BB2281">
        <w:t xml:space="preserve">Article 1599 ter A modifié par Décret n°2019-559 du 6 juin 2019 – art. 1 </w:t>
      </w:r>
    </w:p>
    <w:p w:rsidR="00D05313" w:rsidRPr="002463F2" w:rsidRDefault="00D05313" w:rsidP="00926F14">
      <w:pPr>
        <w:rPr>
          <w:sz w:val="10"/>
          <w:szCs w:val="10"/>
        </w:rPr>
      </w:pPr>
    </w:p>
    <w:p w:rsidR="00D05313" w:rsidRPr="004E2E4F" w:rsidRDefault="00D05313" w:rsidP="00D05313">
      <w:pPr>
        <w:pStyle w:val="Titre1"/>
      </w:pPr>
      <w:bookmarkStart w:id="3" w:name="_Toc52213706"/>
      <w:r>
        <w:t>4</w:t>
      </w:r>
      <w:r w:rsidRPr="004E2E4F">
        <w:t xml:space="preserve"> – </w:t>
      </w:r>
      <w:r w:rsidR="006D09C9">
        <w:t>Déductions possibles à la contribution a</w:t>
      </w:r>
      <w:r w:rsidRPr="004E2E4F">
        <w:t>pprentissage</w:t>
      </w:r>
      <w:bookmarkEnd w:id="3"/>
      <w:r w:rsidRPr="004E2E4F">
        <w:t xml:space="preserve"> </w:t>
      </w:r>
    </w:p>
    <w:p w:rsidR="00D05313" w:rsidRPr="002463F2" w:rsidRDefault="00D05313" w:rsidP="00D05313">
      <w:pPr>
        <w:tabs>
          <w:tab w:val="left" w:pos="600"/>
        </w:tabs>
        <w:rPr>
          <w:sz w:val="10"/>
          <w:szCs w:val="10"/>
        </w:rPr>
      </w:pPr>
    </w:p>
    <w:p w:rsidR="00FE5BB8" w:rsidRDefault="00FE5BB8" w:rsidP="00F44E81">
      <w:r>
        <w:t xml:space="preserve">Concernant la contribution apprentissage, il est possible d’effectuer des déductions </w:t>
      </w:r>
      <w:r w:rsidR="002463F2">
        <w:t xml:space="preserve">si des </w:t>
      </w:r>
      <w:r>
        <w:t xml:space="preserve">dépenses </w:t>
      </w:r>
      <w:r w:rsidR="00411081">
        <w:t xml:space="preserve">directes </w:t>
      </w:r>
      <w:r>
        <w:t xml:space="preserve">liées </w:t>
      </w:r>
      <w:r w:rsidR="00411081">
        <w:t>à l’apprentissage</w:t>
      </w:r>
      <w:r w:rsidR="002463F2">
        <w:t xml:space="preserve"> ont été réalisées l’année précédente</w:t>
      </w:r>
      <w:r w:rsidR="00411081">
        <w:t>.</w:t>
      </w:r>
      <w:r>
        <w:t xml:space="preserve"> </w:t>
      </w:r>
      <w:r w:rsidR="00A726B8">
        <w:t xml:space="preserve"> </w:t>
      </w:r>
      <w:r w:rsidR="00411081">
        <w:t xml:space="preserve">Ces déductions sont plafonnées à 10% </w:t>
      </w:r>
      <w:r w:rsidR="003D028C">
        <w:t>de la contribution Apprentissage</w:t>
      </w:r>
      <w:r w:rsidR="00411081">
        <w:t>.</w:t>
      </w:r>
    </w:p>
    <w:p w:rsidR="00411081" w:rsidRPr="00411081" w:rsidRDefault="00411081" w:rsidP="00F44E81">
      <w:pPr>
        <w:rPr>
          <w:sz w:val="10"/>
          <w:szCs w:val="10"/>
        </w:rPr>
      </w:pPr>
    </w:p>
    <w:p w:rsidR="00411081" w:rsidRDefault="00FE5BB8" w:rsidP="00F44E81">
      <w:r>
        <w:t>Ces possibilités et modalité</w:t>
      </w:r>
      <w:r w:rsidR="003D028C">
        <w:t>s</w:t>
      </w:r>
      <w:r>
        <w:t xml:space="preserve"> de déduction sont précisées dans le décret n°</w:t>
      </w:r>
      <w:r w:rsidRPr="00FE5BB8">
        <w:t xml:space="preserve"> 2019-1438 du 23 décembre 2019</w:t>
      </w:r>
      <w:r w:rsidR="00411081">
        <w:t>.</w:t>
      </w:r>
    </w:p>
    <w:p w:rsidR="0099715D" w:rsidRDefault="00411081" w:rsidP="00F44E81">
      <w:r>
        <w:t>Le</w:t>
      </w:r>
      <w:r w:rsidR="00F44E81">
        <w:t xml:space="preserve"> texte </w:t>
      </w:r>
      <w:r w:rsidR="003D028C">
        <w:t xml:space="preserve">du décret </w:t>
      </w:r>
      <w:r w:rsidR="00F44E81">
        <w:t xml:space="preserve">fixe les conditions de mise en œuvre et le plafond des dépenses pouvant être déduites de </w:t>
      </w:r>
      <w:r>
        <w:t xml:space="preserve">la contribution Apprentissage. </w:t>
      </w:r>
      <w:r w:rsidR="00F44E81">
        <w:t>Il précise également le niveau d’activité permettant aux organismes agissant au plan national pour la promotion de la formation technologique et professionnelle initiale et des métiers d’être inscrits sur la li</w:t>
      </w:r>
      <w:bookmarkStart w:id="4" w:name="_GoBack"/>
      <w:bookmarkEnd w:id="4"/>
      <w:r w:rsidR="00F44E81">
        <w:t>ste arrêtée par les ministres chargés de l’éducation nationale et de la formation professionnelle les habilitant à percevoir le solde de la taxe d’apprentissage.</w:t>
      </w:r>
    </w:p>
    <w:p w:rsidR="0099715D" w:rsidRPr="00411081" w:rsidRDefault="0099715D" w:rsidP="0099715D">
      <w:pPr>
        <w:rPr>
          <w:sz w:val="10"/>
          <w:szCs w:val="10"/>
        </w:rPr>
      </w:pPr>
    </w:p>
    <w:p w:rsidR="00F44E81" w:rsidRDefault="00F44E81" w:rsidP="00F44E81">
      <w:r>
        <w:t>Les dépenses déductibles, sont celles qui remplissent les conditions suivantes :</w:t>
      </w:r>
    </w:p>
    <w:p w:rsidR="00F44E81" w:rsidRDefault="003D028C" w:rsidP="00F44E81">
      <w:r>
        <w:t xml:space="preserve">1 - </w:t>
      </w:r>
      <w:r w:rsidR="00F44E81">
        <w:t>Les dépenses des investissements destinés au financement des équipements et matériels nécessaires à la réalisation de la formation d’un ou plusieurs apprentis de l’entreprise au sein du centre de formation d’apprentis dont celle-ci dispose ;</w:t>
      </w:r>
    </w:p>
    <w:p w:rsidR="00F44E81" w:rsidRDefault="003D028C" w:rsidP="00F44E81">
      <w:r>
        <w:t xml:space="preserve">2 - </w:t>
      </w:r>
      <w:r w:rsidR="00F44E81">
        <w:t>Les versements concourant aux investissements destinés au financement des équipements et matériels nécessaires à la mise en place par le centre de formation d’apprentis d’une offre nouvelle de formation par apprentissage, lorsque celle-ci sert à former un ou plusieurs ap</w:t>
      </w:r>
      <w:r w:rsidR="00DF535D">
        <w:t>prentis de l’entreprise.</w:t>
      </w:r>
    </w:p>
    <w:p w:rsidR="00DF535D" w:rsidRPr="002463F2" w:rsidRDefault="00DF535D" w:rsidP="00F44E81">
      <w:pPr>
        <w:rPr>
          <w:sz w:val="10"/>
          <w:szCs w:val="10"/>
        </w:rPr>
      </w:pPr>
    </w:p>
    <w:p w:rsidR="0099715D" w:rsidRDefault="00DF535D" w:rsidP="00F44E81">
      <w:r>
        <w:t>Il est aussi précisé que l</w:t>
      </w:r>
      <w:r w:rsidR="00F44E81">
        <w:t xml:space="preserve">e montant total des dépenses pouvant être déduites </w:t>
      </w:r>
      <w:r>
        <w:t>de la contribution apprentissage de la CUFPA</w:t>
      </w:r>
      <w:r w:rsidR="00F44E81">
        <w:t xml:space="preserve"> ne</w:t>
      </w:r>
      <w:r>
        <w:t xml:space="preserve"> </w:t>
      </w:r>
      <w:r w:rsidR="00F44E81">
        <w:t xml:space="preserve">peut excéder 10 % de la </w:t>
      </w:r>
      <w:r>
        <w:t>contribution apprentissage</w:t>
      </w:r>
      <w:r w:rsidR="00F44E81">
        <w:t xml:space="preserve"> sur la base</w:t>
      </w:r>
      <w:r>
        <w:t xml:space="preserve"> </w:t>
      </w:r>
      <w:r w:rsidR="00F44E81">
        <w:t>des dépenses réelles effectuées par l’entreprise au titre de l’année précédant leur déduction.</w:t>
      </w:r>
    </w:p>
    <w:p w:rsidR="00F13145" w:rsidRPr="00F13145" w:rsidRDefault="00F13145" w:rsidP="00F44E81">
      <w:pPr>
        <w:rPr>
          <w:sz w:val="10"/>
          <w:szCs w:val="10"/>
        </w:rPr>
      </w:pPr>
    </w:p>
    <w:p w:rsidR="00F13145" w:rsidRDefault="00F13145" w:rsidP="00F44E81">
      <w:r>
        <w:t>Ces déductions peuvent concerner la con</w:t>
      </w:r>
      <w:r w:rsidR="00121E5A">
        <w:t>tribution Apprentissage « Hors Alsace-</w:t>
      </w:r>
      <w:r>
        <w:t>Moselle » et/ou la contribution</w:t>
      </w:r>
      <w:r w:rsidR="00121E5A">
        <w:t xml:space="preserve"> Apprentissage « Alsace-</w:t>
      </w:r>
      <w:r>
        <w:t>Moselle ».</w:t>
      </w:r>
    </w:p>
    <w:p w:rsidR="002463F2" w:rsidRPr="002463F2" w:rsidRDefault="002463F2" w:rsidP="00F44E81">
      <w:pPr>
        <w:rPr>
          <w:sz w:val="10"/>
          <w:szCs w:val="10"/>
        </w:rPr>
      </w:pPr>
    </w:p>
    <w:p w:rsidR="005F4B74" w:rsidRPr="004E2E4F" w:rsidRDefault="00D05313" w:rsidP="004E2E4F">
      <w:pPr>
        <w:pStyle w:val="Titre1"/>
        <w:rPr>
          <w:sz w:val="23"/>
        </w:rPr>
      </w:pPr>
      <w:bookmarkStart w:id="5" w:name="_Toc52213707"/>
      <w:r>
        <w:t>5</w:t>
      </w:r>
      <w:r w:rsidR="005F4B74" w:rsidRPr="004E2E4F">
        <w:t xml:space="preserve"> – </w:t>
      </w:r>
      <w:r w:rsidR="0084733A">
        <w:t>TVA et modalités de règlement</w:t>
      </w:r>
      <w:bookmarkEnd w:id="5"/>
    </w:p>
    <w:p w:rsidR="0018594E" w:rsidRPr="00176E77" w:rsidRDefault="00021677" w:rsidP="007374C4">
      <w:pPr>
        <w:pStyle w:val="Titre2"/>
      </w:pPr>
      <w:r>
        <w:t xml:space="preserve">a) </w:t>
      </w:r>
      <w:r w:rsidR="00176E77" w:rsidRPr="007374C4">
        <w:t>Application de la TVA</w:t>
      </w:r>
    </w:p>
    <w:p w:rsidR="00176E77" w:rsidRDefault="00176E77" w:rsidP="00176E77">
      <w:pPr>
        <w:pStyle w:val="Paragraphedeliste"/>
        <w:numPr>
          <w:ilvl w:val="0"/>
          <w:numId w:val="0"/>
        </w:numPr>
        <w:ind w:left="360"/>
      </w:pPr>
      <w:r>
        <w:t>L’application de TVA dépend des</w:t>
      </w:r>
      <w:r w:rsidR="00501A0C">
        <w:t xml:space="preserve"> natures de contribution</w:t>
      </w:r>
      <w:r w:rsidR="00173582">
        <w:t xml:space="preserve"> (la contribution apprentissage est hors du champ de la TVA)</w:t>
      </w:r>
      <w:r w:rsidR="00501A0C">
        <w:t>, de la</w:t>
      </w:r>
      <w:r>
        <w:t xml:space="preserve"> </w:t>
      </w:r>
      <w:r w:rsidR="00454F0E" w:rsidRPr="00501A0C">
        <w:t xml:space="preserve">localisation </w:t>
      </w:r>
      <w:r w:rsidRPr="00501A0C">
        <w:t xml:space="preserve">des </w:t>
      </w:r>
      <w:r>
        <w:t>entreprises (Métropole</w:t>
      </w:r>
      <w:r w:rsidR="00173582">
        <w:t xml:space="preserve"> 20%</w:t>
      </w:r>
      <w:r>
        <w:t>, DROM</w:t>
      </w:r>
      <w:r w:rsidR="00173582">
        <w:t xml:space="preserve"> 8,5%</w:t>
      </w:r>
      <w:r>
        <w:t>, Guyane</w:t>
      </w:r>
      <w:r w:rsidR="00173582">
        <w:t xml:space="preserve"> et Mayotte 0%</w:t>
      </w:r>
      <w:r>
        <w:t xml:space="preserve">…) et </w:t>
      </w:r>
      <w:r w:rsidR="00173582">
        <w:t xml:space="preserve">de </w:t>
      </w:r>
      <w:r>
        <w:t>votre assujettissement à la TVA à renseigner impérativement dan</w:t>
      </w:r>
      <w:r w:rsidR="00173582">
        <w:t>s les champs du bordereau prévus à cet effet</w:t>
      </w:r>
      <w:r w:rsidR="00D31A7E">
        <w:t>.</w:t>
      </w:r>
    </w:p>
    <w:p w:rsidR="00D31A7E" w:rsidRDefault="00D31A7E" w:rsidP="00D31A7E">
      <w:pPr>
        <w:pStyle w:val="Titre2"/>
      </w:pPr>
      <w:r>
        <w:t>b) Modalités de règlement</w:t>
      </w:r>
    </w:p>
    <w:p w:rsidR="0084733A" w:rsidRDefault="0084733A" w:rsidP="00874296">
      <w:pPr>
        <w:pStyle w:val="Paragraphedeliste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Veuillez privilégier la déclaration en ligne accessible via votre accès Extranet OCAPIAT ou via </w:t>
      </w:r>
      <w:r w:rsidR="00606919">
        <w:rPr>
          <w:b/>
        </w:rPr>
        <w:t xml:space="preserve">le </w:t>
      </w:r>
      <w:r>
        <w:rPr>
          <w:b/>
        </w:rPr>
        <w:t xml:space="preserve">site </w:t>
      </w:r>
      <w:hyperlink r:id="rId10" w:history="1">
        <w:r w:rsidR="00A733DB" w:rsidRPr="00B928D7">
          <w:rPr>
            <w:rStyle w:val="Lienhypertexte"/>
          </w:rPr>
          <w:t>www.ocapiat.fr</w:t>
        </w:r>
      </w:hyperlink>
      <w:r w:rsidR="00A733DB">
        <w:t xml:space="preserve"> </w:t>
      </w:r>
      <w:r w:rsidR="00606919">
        <w:t>. Cette déclaration en ligne permet</w:t>
      </w:r>
      <w:r w:rsidR="00A733DB">
        <w:t xml:space="preserve"> un règlement par virement ou par prélèvement</w:t>
      </w:r>
      <w:r w:rsidR="00606919">
        <w:t xml:space="preserve"> immédiat ou différé (au plus tard au 31/10/2020)</w:t>
      </w:r>
      <w:r>
        <w:rPr>
          <w:b/>
        </w:rPr>
        <w:t>.</w:t>
      </w:r>
    </w:p>
    <w:p w:rsidR="00A733DB" w:rsidRDefault="0084733A" w:rsidP="00173582">
      <w:pPr>
        <w:pStyle w:val="Paragraphedeliste"/>
        <w:numPr>
          <w:ilvl w:val="0"/>
          <w:numId w:val="0"/>
        </w:numPr>
        <w:ind w:left="360"/>
      </w:pPr>
      <w:r>
        <w:t>A défaut</w:t>
      </w:r>
      <w:r w:rsidR="00606919">
        <w:t xml:space="preserve"> de déclaration en ligne,</w:t>
      </w:r>
      <w:r>
        <w:t xml:space="preserve"> vous pou</w:t>
      </w:r>
      <w:r w:rsidR="00F13145">
        <w:t>vez utiliser les bordereaux PDF</w:t>
      </w:r>
      <w:r w:rsidR="00A733DB">
        <w:t xml:space="preserve"> présents aussi sur le site </w:t>
      </w:r>
      <w:hyperlink r:id="rId11" w:history="1">
        <w:r w:rsidR="00A733DB" w:rsidRPr="00B928D7">
          <w:rPr>
            <w:rStyle w:val="Lienhypertexte"/>
          </w:rPr>
          <w:t>www.ocapiat.fr</w:t>
        </w:r>
      </w:hyperlink>
      <w:r w:rsidR="00A733DB">
        <w:t xml:space="preserve">. </w:t>
      </w:r>
      <w:r w:rsidR="00D31A7E" w:rsidRPr="00874296">
        <w:t xml:space="preserve">Préciser vos modalités de règlement </w:t>
      </w:r>
      <w:r w:rsidR="00874296">
        <w:t xml:space="preserve">dans le cadre prévu à cet effet au verso </w:t>
      </w:r>
      <w:r w:rsidR="00606919">
        <w:t>du bordereau</w:t>
      </w:r>
      <w:r w:rsidR="00A733DB">
        <w:t xml:space="preserve">. </w:t>
      </w:r>
      <w:r w:rsidR="00173582">
        <w:t>Compte tenu</w:t>
      </w:r>
      <w:r w:rsidR="00A733DB">
        <w:t xml:space="preserve"> du contexte lié à la COVID, ve</w:t>
      </w:r>
      <w:r w:rsidR="00173582">
        <w:t>illez autant que possible à limiter les règlements par chèque et privilégiez un règle</w:t>
      </w:r>
      <w:r w:rsidR="00A733DB">
        <w:t>ment par</w:t>
      </w:r>
      <w:r w:rsidR="00AC3F5F">
        <w:t xml:space="preserve"> virement, </w:t>
      </w:r>
      <w:r w:rsidR="00173582">
        <w:t xml:space="preserve">avec </w:t>
      </w:r>
      <w:r w:rsidR="00AC3F5F">
        <w:t xml:space="preserve">l’envoi de votre bordereau rempli à l’adresse mail </w:t>
      </w:r>
      <w:hyperlink r:id="rId12" w:history="1">
        <w:r w:rsidR="00606919" w:rsidRPr="00E02696">
          <w:rPr>
            <w:rStyle w:val="Lienhypertexte"/>
          </w:rPr>
          <w:t>contributionsFP@ocapiat.fr</w:t>
        </w:r>
      </w:hyperlink>
      <w:r w:rsidR="00606919">
        <w:t xml:space="preserve"> . S</w:t>
      </w:r>
      <w:r w:rsidR="00A733DB">
        <w:t>i néanmoins vous réglez par chèque, veillez à envoyer votre chèque  à l’adresse postale indiquée au verso du bordereau, à l’ordre d’OCAPIAT et accompagné du bordereau rempli.</w:t>
      </w:r>
    </w:p>
    <w:sectPr w:rsidR="00A733DB" w:rsidSect="006D09C9">
      <w:footerReference w:type="default" r:id="rId13"/>
      <w:pgSz w:w="11906" w:h="16838" w:code="9"/>
      <w:pgMar w:top="397" w:right="567" w:bottom="340" w:left="567" w:header="624" w:footer="624" w:gutter="0"/>
      <w:pgBorders w:offsetFrom="page">
        <w:top w:val="dotDotDash" w:sz="2" w:space="24" w:color="auto" w:shadow="1"/>
        <w:bottom w:val="double" w:sz="2" w:space="6" w:color="auto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DE" w:rsidRDefault="00080DDE" w:rsidP="00C27E3D">
      <w:r>
        <w:separator/>
      </w:r>
    </w:p>
  </w:endnote>
  <w:endnote w:type="continuationSeparator" w:id="0">
    <w:p w:rsidR="00080DDE" w:rsidRDefault="00080DDE" w:rsidP="00C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3F142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F1422" w:rsidRDefault="003F142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F1422" w:rsidRPr="004E2E4F" w:rsidRDefault="003F1422" w:rsidP="004E2E4F">
          <w:pPr>
            <w:pStyle w:val="Sansinterligne"/>
            <w:jc w:val="center"/>
            <w:rPr>
              <w:rFonts w:eastAsiaTheme="majorEastAsia" w:cstheme="minorHAnsi"/>
              <w:sz w:val="16"/>
              <w:szCs w:val="16"/>
            </w:rPr>
          </w:pPr>
          <w:r w:rsidRPr="004E2E4F">
            <w:rPr>
              <w:rFonts w:eastAsiaTheme="majorEastAsia" w:cstheme="minorHAnsi"/>
              <w:b/>
              <w:bCs/>
              <w:sz w:val="16"/>
              <w:szCs w:val="16"/>
            </w:rPr>
            <w:t xml:space="preserve">Page </w:t>
          </w:r>
          <w:r w:rsidRPr="004E2E4F">
            <w:rPr>
              <w:rFonts w:cstheme="minorHAnsi"/>
              <w:sz w:val="16"/>
              <w:szCs w:val="16"/>
            </w:rPr>
            <w:fldChar w:fldCharType="begin"/>
          </w:r>
          <w:r w:rsidRPr="004E2E4F">
            <w:rPr>
              <w:rFonts w:cstheme="minorHAnsi"/>
              <w:sz w:val="16"/>
              <w:szCs w:val="16"/>
            </w:rPr>
            <w:instrText>PAGE  \* MERGEFORMAT</w:instrText>
          </w:r>
          <w:r w:rsidRPr="004E2E4F">
            <w:rPr>
              <w:rFonts w:cstheme="minorHAnsi"/>
              <w:sz w:val="16"/>
              <w:szCs w:val="16"/>
            </w:rPr>
            <w:fldChar w:fldCharType="separate"/>
          </w:r>
          <w:r w:rsidR="00121E5A" w:rsidRPr="00121E5A">
            <w:rPr>
              <w:rFonts w:eastAsiaTheme="majorEastAsia" w:cstheme="minorHAnsi"/>
              <w:b/>
              <w:bCs/>
              <w:noProof/>
              <w:sz w:val="16"/>
              <w:szCs w:val="16"/>
            </w:rPr>
            <w:t>2</w:t>
          </w:r>
          <w:r w:rsidRPr="004E2E4F">
            <w:rPr>
              <w:rFonts w:eastAsiaTheme="majorEastAsia" w:cstheme="minorHAns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F1422" w:rsidRDefault="003F142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F142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F1422" w:rsidRDefault="003F142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F1422" w:rsidRDefault="003F1422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F1422" w:rsidRDefault="003F1422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F1422" w:rsidRDefault="003F14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DE" w:rsidRDefault="00080DDE" w:rsidP="00C27E3D">
      <w:r>
        <w:separator/>
      </w:r>
    </w:p>
  </w:footnote>
  <w:footnote w:type="continuationSeparator" w:id="0">
    <w:p w:rsidR="00080DDE" w:rsidRDefault="00080DDE" w:rsidP="00C2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B1E"/>
    <w:multiLevelType w:val="hybridMultilevel"/>
    <w:tmpl w:val="F37C66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60914"/>
    <w:multiLevelType w:val="hybridMultilevel"/>
    <w:tmpl w:val="68C25998"/>
    <w:lvl w:ilvl="0" w:tplc="7E4CBB06">
      <w:start w:val="2"/>
      <w:numFmt w:val="bullet"/>
      <w:lvlText w:val="-"/>
      <w:lvlJc w:val="left"/>
      <w:pPr>
        <w:ind w:left="720" w:hanging="360"/>
      </w:pPr>
      <w:rPr>
        <w:rFonts w:ascii="Gill Sans MT" w:eastAsia="Verdana" w:hAnsi="Gill Sans MT" w:cs="Verdana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6452"/>
    <w:multiLevelType w:val="hybridMultilevel"/>
    <w:tmpl w:val="0A34EB5E"/>
    <w:lvl w:ilvl="0" w:tplc="81ECD3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5AD"/>
    <w:multiLevelType w:val="hybridMultilevel"/>
    <w:tmpl w:val="6F5ED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15E73"/>
    <w:multiLevelType w:val="hybridMultilevel"/>
    <w:tmpl w:val="33222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2456B"/>
    <w:multiLevelType w:val="hybridMultilevel"/>
    <w:tmpl w:val="F348A6E4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2E636A9"/>
    <w:multiLevelType w:val="hybridMultilevel"/>
    <w:tmpl w:val="3FDA2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7527A"/>
    <w:multiLevelType w:val="hybridMultilevel"/>
    <w:tmpl w:val="64F68F9C"/>
    <w:lvl w:ilvl="0" w:tplc="CF8E0288">
      <w:start w:val="3"/>
      <w:numFmt w:val="bullet"/>
      <w:lvlText w:val=""/>
      <w:lvlJc w:val="left"/>
      <w:pPr>
        <w:ind w:left="360" w:hanging="360"/>
      </w:pPr>
      <w:rPr>
        <w:rFonts w:ascii="Wingdings" w:eastAsia="Verdana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A0240D"/>
    <w:multiLevelType w:val="multilevel"/>
    <w:tmpl w:val="601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73486"/>
    <w:multiLevelType w:val="hybridMultilevel"/>
    <w:tmpl w:val="C0C86F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471D"/>
    <w:multiLevelType w:val="hybridMultilevel"/>
    <w:tmpl w:val="89A270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FC7AE4"/>
    <w:multiLevelType w:val="hybridMultilevel"/>
    <w:tmpl w:val="9F923D86"/>
    <w:lvl w:ilvl="0" w:tplc="EB62C6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57DA"/>
    <w:multiLevelType w:val="hybridMultilevel"/>
    <w:tmpl w:val="9E26AA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5C6C"/>
    <w:multiLevelType w:val="hybridMultilevel"/>
    <w:tmpl w:val="BBBA8064"/>
    <w:lvl w:ilvl="0" w:tplc="25BCFEA4">
      <w:start w:val="1"/>
      <w:numFmt w:val="bullet"/>
      <w:lvlText w:val=""/>
      <w:lvlJc w:val="left"/>
      <w:pPr>
        <w:ind w:left="720" w:hanging="360"/>
      </w:pPr>
      <w:rPr>
        <w:rFonts w:ascii="Wingdings" w:eastAsia="Verdana" w:hAnsi="Wingdings" w:cs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73EAB"/>
    <w:multiLevelType w:val="multilevel"/>
    <w:tmpl w:val="B77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C5D51"/>
    <w:multiLevelType w:val="hybridMultilevel"/>
    <w:tmpl w:val="6BF2B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377FC4"/>
    <w:multiLevelType w:val="hybridMultilevel"/>
    <w:tmpl w:val="B1F6CF7E"/>
    <w:lvl w:ilvl="0" w:tplc="BFA0D5BC">
      <w:numFmt w:val="bullet"/>
      <w:lvlText w:val="&gt;"/>
      <w:lvlJc w:val="left"/>
      <w:pPr>
        <w:ind w:left="600" w:hanging="383"/>
      </w:pPr>
      <w:rPr>
        <w:rFonts w:ascii="Verdana" w:eastAsia="Verdana" w:hAnsi="Verdana" w:cs="Verdana" w:hint="default"/>
        <w:b/>
        <w:bCs/>
        <w:color w:val="FFFFFF"/>
        <w:w w:val="102"/>
        <w:sz w:val="22"/>
        <w:szCs w:val="22"/>
      </w:rPr>
    </w:lvl>
    <w:lvl w:ilvl="1" w:tplc="33FEEE80">
      <w:numFmt w:val="bullet"/>
      <w:lvlText w:val="•"/>
      <w:lvlJc w:val="left"/>
      <w:pPr>
        <w:ind w:left="1730" w:hanging="383"/>
      </w:pPr>
      <w:rPr>
        <w:rFonts w:hint="default"/>
      </w:rPr>
    </w:lvl>
    <w:lvl w:ilvl="2" w:tplc="3684DB58">
      <w:numFmt w:val="bullet"/>
      <w:lvlText w:val="•"/>
      <w:lvlJc w:val="left"/>
      <w:pPr>
        <w:ind w:left="2860" w:hanging="383"/>
      </w:pPr>
      <w:rPr>
        <w:rFonts w:hint="default"/>
      </w:rPr>
    </w:lvl>
    <w:lvl w:ilvl="3" w:tplc="403CA486">
      <w:numFmt w:val="bullet"/>
      <w:lvlText w:val="•"/>
      <w:lvlJc w:val="left"/>
      <w:pPr>
        <w:ind w:left="3990" w:hanging="383"/>
      </w:pPr>
      <w:rPr>
        <w:rFonts w:hint="default"/>
      </w:rPr>
    </w:lvl>
    <w:lvl w:ilvl="4" w:tplc="45DA4E4E">
      <w:numFmt w:val="bullet"/>
      <w:lvlText w:val="•"/>
      <w:lvlJc w:val="left"/>
      <w:pPr>
        <w:ind w:left="5120" w:hanging="383"/>
      </w:pPr>
      <w:rPr>
        <w:rFonts w:hint="default"/>
      </w:rPr>
    </w:lvl>
    <w:lvl w:ilvl="5" w:tplc="6B60B248">
      <w:numFmt w:val="bullet"/>
      <w:lvlText w:val="•"/>
      <w:lvlJc w:val="left"/>
      <w:pPr>
        <w:ind w:left="6250" w:hanging="383"/>
      </w:pPr>
      <w:rPr>
        <w:rFonts w:hint="default"/>
      </w:rPr>
    </w:lvl>
    <w:lvl w:ilvl="6" w:tplc="15628E5E">
      <w:numFmt w:val="bullet"/>
      <w:lvlText w:val="•"/>
      <w:lvlJc w:val="left"/>
      <w:pPr>
        <w:ind w:left="7380" w:hanging="383"/>
      </w:pPr>
      <w:rPr>
        <w:rFonts w:hint="default"/>
      </w:rPr>
    </w:lvl>
    <w:lvl w:ilvl="7" w:tplc="3FA89776">
      <w:numFmt w:val="bullet"/>
      <w:lvlText w:val="•"/>
      <w:lvlJc w:val="left"/>
      <w:pPr>
        <w:ind w:left="8510" w:hanging="383"/>
      </w:pPr>
      <w:rPr>
        <w:rFonts w:hint="default"/>
      </w:rPr>
    </w:lvl>
    <w:lvl w:ilvl="8" w:tplc="18D4D9AC">
      <w:numFmt w:val="bullet"/>
      <w:lvlText w:val="•"/>
      <w:lvlJc w:val="left"/>
      <w:pPr>
        <w:ind w:left="9640" w:hanging="383"/>
      </w:pPr>
      <w:rPr>
        <w:rFonts w:hint="default"/>
      </w:rPr>
    </w:lvl>
  </w:abstractNum>
  <w:abstractNum w:abstractNumId="17">
    <w:nsid w:val="314E3E2E"/>
    <w:multiLevelType w:val="hybridMultilevel"/>
    <w:tmpl w:val="6C50B692"/>
    <w:lvl w:ilvl="0" w:tplc="7E4CBB06">
      <w:start w:val="2"/>
      <w:numFmt w:val="bullet"/>
      <w:lvlText w:val="-"/>
      <w:lvlJc w:val="left"/>
      <w:pPr>
        <w:ind w:left="720" w:hanging="360"/>
      </w:pPr>
      <w:rPr>
        <w:rFonts w:ascii="Gill Sans MT" w:eastAsia="Verdana" w:hAnsi="Gill Sans MT" w:cs="Verdana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D60DB"/>
    <w:multiLevelType w:val="hybridMultilevel"/>
    <w:tmpl w:val="EE84EE8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F2FD6"/>
    <w:multiLevelType w:val="hybridMultilevel"/>
    <w:tmpl w:val="E738ECC0"/>
    <w:lvl w:ilvl="0" w:tplc="040C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152DB"/>
    <w:multiLevelType w:val="multilevel"/>
    <w:tmpl w:val="E2E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8545F"/>
    <w:multiLevelType w:val="hybridMultilevel"/>
    <w:tmpl w:val="178CD3F4"/>
    <w:lvl w:ilvl="0" w:tplc="C4BE3830">
      <w:numFmt w:val="bullet"/>
      <w:lvlText w:val="&gt;"/>
      <w:lvlJc w:val="left"/>
      <w:pPr>
        <w:ind w:left="530" w:hanging="383"/>
      </w:pPr>
      <w:rPr>
        <w:rFonts w:ascii="Verdana" w:eastAsia="Verdana" w:hAnsi="Verdana" w:cs="Verdana" w:hint="default"/>
        <w:b/>
        <w:bCs/>
        <w:color w:val="FFFFFF"/>
        <w:w w:val="102"/>
        <w:sz w:val="22"/>
        <w:szCs w:val="22"/>
      </w:rPr>
    </w:lvl>
    <w:lvl w:ilvl="1" w:tplc="1708D7C4">
      <w:numFmt w:val="bullet"/>
      <w:lvlText w:val="•"/>
      <w:lvlJc w:val="left"/>
      <w:pPr>
        <w:ind w:left="1660" w:hanging="383"/>
      </w:pPr>
      <w:rPr>
        <w:rFonts w:hint="default"/>
      </w:rPr>
    </w:lvl>
    <w:lvl w:ilvl="2" w:tplc="2CB8002A">
      <w:numFmt w:val="bullet"/>
      <w:lvlText w:val="•"/>
      <w:lvlJc w:val="left"/>
      <w:pPr>
        <w:ind w:left="2780" w:hanging="383"/>
      </w:pPr>
      <w:rPr>
        <w:rFonts w:hint="default"/>
      </w:rPr>
    </w:lvl>
    <w:lvl w:ilvl="3" w:tplc="A2680B86">
      <w:numFmt w:val="bullet"/>
      <w:lvlText w:val="•"/>
      <w:lvlJc w:val="left"/>
      <w:pPr>
        <w:ind w:left="3900" w:hanging="383"/>
      </w:pPr>
      <w:rPr>
        <w:rFonts w:hint="default"/>
      </w:rPr>
    </w:lvl>
    <w:lvl w:ilvl="4" w:tplc="6F767AAA">
      <w:numFmt w:val="bullet"/>
      <w:lvlText w:val="•"/>
      <w:lvlJc w:val="left"/>
      <w:pPr>
        <w:ind w:left="5021" w:hanging="383"/>
      </w:pPr>
      <w:rPr>
        <w:rFonts w:hint="default"/>
      </w:rPr>
    </w:lvl>
    <w:lvl w:ilvl="5" w:tplc="3C528390">
      <w:numFmt w:val="bullet"/>
      <w:lvlText w:val="•"/>
      <w:lvlJc w:val="left"/>
      <w:pPr>
        <w:ind w:left="6141" w:hanging="383"/>
      </w:pPr>
      <w:rPr>
        <w:rFonts w:hint="default"/>
      </w:rPr>
    </w:lvl>
    <w:lvl w:ilvl="6" w:tplc="90662490">
      <w:numFmt w:val="bullet"/>
      <w:lvlText w:val="•"/>
      <w:lvlJc w:val="left"/>
      <w:pPr>
        <w:ind w:left="7261" w:hanging="383"/>
      </w:pPr>
      <w:rPr>
        <w:rFonts w:hint="default"/>
      </w:rPr>
    </w:lvl>
    <w:lvl w:ilvl="7" w:tplc="EC46E050">
      <w:numFmt w:val="bullet"/>
      <w:lvlText w:val="•"/>
      <w:lvlJc w:val="left"/>
      <w:pPr>
        <w:ind w:left="8381" w:hanging="383"/>
      </w:pPr>
      <w:rPr>
        <w:rFonts w:hint="default"/>
      </w:rPr>
    </w:lvl>
    <w:lvl w:ilvl="8" w:tplc="08ECC838">
      <w:numFmt w:val="bullet"/>
      <w:lvlText w:val="•"/>
      <w:lvlJc w:val="left"/>
      <w:pPr>
        <w:ind w:left="9502" w:hanging="383"/>
      </w:pPr>
      <w:rPr>
        <w:rFonts w:hint="default"/>
      </w:rPr>
    </w:lvl>
  </w:abstractNum>
  <w:abstractNum w:abstractNumId="22">
    <w:nsid w:val="41EE0B33"/>
    <w:multiLevelType w:val="hybridMultilevel"/>
    <w:tmpl w:val="AB52E310"/>
    <w:lvl w:ilvl="0" w:tplc="9B161E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06537"/>
    <w:multiLevelType w:val="hybridMultilevel"/>
    <w:tmpl w:val="3146C25E"/>
    <w:lvl w:ilvl="0" w:tplc="959C238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454C6"/>
    <w:multiLevelType w:val="hybridMultilevel"/>
    <w:tmpl w:val="EB745008"/>
    <w:lvl w:ilvl="0" w:tplc="BFDE30C8">
      <w:numFmt w:val="bullet"/>
      <w:lvlText w:val="&gt;"/>
      <w:lvlJc w:val="left"/>
      <w:pPr>
        <w:ind w:left="530" w:hanging="383"/>
      </w:pPr>
      <w:rPr>
        <w:rFonts w:ascii="Verdana" w:eastAsia="Verdana" w:hAnsi="Verdana" w:cs="Verdana" w:hint="default"/>
        <w:b/>
        <w:bCs/>
        <w:color w:val="FFFFFF"/>
        <w:w w:val="102"/>
        <w:position w:val="-13"/>
        <w:sz w:val="22"/>
        <w:szCs w:val="22"/>
      </w:rPr>
    </w:lvl>
    <w:lvl w:ilvl="1" w:tplc="C29EAE46">
      <w:numFmt w:val="bullet"/>
      <w:lvlText w:val="•"/>
      <w:lvlJc w:val="left"/>
      <w:pPr>
        <w:ind w:left="1660" w:hanging="383"/>
      </w:pPr>
      <w:rPr>
        <w:rFonts w:hint="default"/>
      </w:rPr>
    </w:lvl>
    <w:lvl w:ilvl="2" w:tplc="2154D66E">
      <w:numFmt w:val="bullet"/>
      <w:lvlText w:val="•"/>
      <w:lvlJc w:val="left"/>
      <w:pPr>
        <w:ind w:left="2780" w:hanging="383"/>
      </w:pPr>
      <w:rPr>
        <w:rFonts w:hint="default"/>
      </w:rPr>
    </w:lvl>
    <w:lvl w:ilvl="3" w:tplc="D12E74CE">
      <w:numFmt w:val="bullet"/>
      <w:lvlText w:val="•"/>
      <w:lvlJc w:val="left"/>
      <w:pPr>
        <w:ind w:left="3900" w:hanging="383"/>
      </w:pPr>
      <w:rPr>
        <w:rFonts w:hint="default"/>
      </w:rPr>
    </w:lvl>
    <w:lvl w:ilvl="4" w:tplc="8A869FF0">
      <w:numFmt w:val="bullet"/>
      <w:lvlText w:val="•"/>
      <w:lvlJc w:val="left"/>
      <w:pPr>
        <w:ind w:left="5021" w:hanging="383"/>
      </w:pPr>
      <w:rPr>
        <w:rFonts w:hint="default"/>
      </w:rPr>
    </w:lvl>
    <w:lvl w:ilvl="5" w:tplc="2B34C40E">
      <w:numFmt w:val="bullet"/>
      <w:lvlText w:val="•"/>
      <w:lvlJc w:val="left"/>
      <w:pPr>
        <w:ind w:left="6141" w:hanging="383"/>
      </w:pPr>
      <w:rPr>
        <w:rFonts w:hint="default"/>
      </w:rPr>
    </w:lvl>
    <w:lvl w:ilvl="6" w:tplc="054A3088">
      <w:numFmt w:val="bullet"/>
      <w:lvlText w:val="•"/>
      <w:lvlJc w:val="left"/>
      <w:pPr>
        <w:ind w:left="7261" w:hanging="383"/>
      </w:pPr>
      <w:rPr>
        <w:rFonts w:hint="default"/>
      </w:rPr>
    </w:lvl>
    <w:lvl w:ilvl="7" w:tplc="3348B674">
      <w:numFmt w:val="bullet"/>
      <w:lvlText w:val="•"/>
      <w:lvlJc w:val="left"/>
      <w:pPr>
        <w:ind w:left="8381" w:hanging="383"/>
      </w:pPr>
      <w:rPr>
        <w:rFonts w:hint="default"/>
      </w:rPr>
    </w:lvl>
    <w:lvl w:ilvl="8" w:tplc="040CC328">
      <w:numFmt w:val="bullet"/>
      <w:lvlText w:val="•"/>
      <w:lvlJc w:val="left"/>
      <w:pPr>
        <w:ind w:left="9502" w:hanging="383"/>
      </w:pPr>
      <w:rPr>
        <w:rFonts w:hint="default"/>
      </w:rPr>
    </w:lvl>
  </w:abstractNum>
  <w:abstractNum w:abstractNumId="25">
    <w:nsid w:val="467F3FB0"/>
    <w:multiLevelType w:val="hybridMultilevel"/>
    <w:tmpl w:val="17C07B22"/>
    <w:lvl w:ilvl="0" w:tplc="24C0473C">
      <w:start w:val="4"/>
      <w:numFmt w:val="bullet"/>
      <w:lvlText w:val="-"/>
      <w:lvlJc w:val="left"/>
      <w:pPr>
        <w:ind w:left="410" w:hanging="360"/>
      </w:pPr>
      <w:rPr>
        <w:rFonts w:ascii="Gill Sans MT" w:eastAsia="Verdana" w:hAnsi="Gill Sans MT" w:cs="Verdana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470720ED"/>
    <w:multiLevelType w:val="hybridMultilevel"/>
    <w:tmpl w:val="AC8056F8"/>
    <w:lvl w:ilvl="0" w:tplc="EDE27B14">
      <w:numFmt w:val="bullet"/>
      <w:lvlText w:val="•"/>
      <w:lvlJc w:val="left"/>
      <w:pPr>
        <w:ind w:left="680" w:hanging="148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3782D454">
      <w:numFmt w:val="bullet"/>
      <w:lvlText w:val="•"/>
      <w:lvlJc w:val="left"/>
      <w:pPr>
        <w:ind w:left="1786" w:hanging="148"/>
      </w:pPr>
      <w:rPr>
        <w:rFonts w:hint="default"/>
      </w:rPr>
    </w:lvl>
    <w:lvl w:ilvl="2" w:tplc="50CAEC06">
      <w:numFmt w:val="bullet"/>
      <w:lvlText w:val="•"/>
      <w:lvlJc w:val="left"/>
      <w:pPr>
        <w:ind w:left="2893" w:hanging="148"/>
      </w:pPr>
      <w:rPr>
        <w:rFonts w:hint="default"/>
      </w:rPr>
    </w:lvl>
    <w:lvl w:ilvl="3" w:tplc="4C44630C">
      <w:numFmt w:val="bullet"/>
      <w:lvlText w:val="•"/>
      <w:lvlJc w:val="left"/>
      <w:pPr>
        <w:ind w:left="3999" w:hanging="148"/>
      </w:pPr>
      <w:rPr>
        <w:rFonts w:hint="default"/>
      </w:rPr>
    </w:lvl>
    <w:lvl w:ilvl="4" w:tplc="387EA266">
      <w:numFmt w:val="bullet"/>
      <w:lvlText w:val="•"/>
      <w:lvlJc w:val="left"/>
      <w:pPr>
        <w:ind w:left="5106" w:hanging="148"/>
      </w:pPr>
      <w:rPr>
        <w:rFonts w:hint="default"/>
      </w:rPr>
    </w:lvl>
    <w:lvl w:ilvl="5" w:tplc="944EF8B8">
      <w:numFmt w:val="bullet"/>
      <w:lvlText w:val="•"/>
      <w:lvlJc w:val="left"/>
      <w:pPr>
        <w:ind w:left="6212" w:hanging="148"/>
      </w:pPr>
      <w:rPr>
        <w:rFonts w:hint="default"/>
      </w:rPr>
    </w:lvl>
    <w:lvl w:ilvl="6" w:tplc="649C1EC8">
      <w:numFmt w:val="bullet"/>
      <w:lvlText w:val="•"/>
      <w:lvlJc w:val="left"/>
      <w:pPr>
        <w:ind w:left="7319" w:hanging="148"/>
      </w:pPr>
      <w:rPr>
        <w:rFonts w:hint="default"/>
      </w:rPr>
    </w:lvl>
    <w:lvl w:ilvl="7" w:tplc="3118EA6A">
      <w:numFmt w:val="bullet"/>
      <w:lvlText w:val="•"/>
      <w:lvlJc w:val="left"/>
      <w:pPr>
        <w:ind w:left="8425" w:hanging="148"/>
      </w:pPr>
      <w:rPr>
        <w:rFonts w:hint="default"/>
      </w:rPr>
    </w:lvl>
    <w:lvl w:ilvl="8" w:tplc="7D2C67A0">
      <w:numFmt w:val="bullet"/>
      <w:lvlText w:val="•"/>
      <w:lvlJc w:val="left"/>
      <w:pPr>
        <w:ind w:left="9532" w:hanging="148"/>
      </w:pPr>
      <w:rPr>
        <w:rFonts w:hint="default"/>
      </w:rPr>
    </w:lvl>
  </w:abstractNum>
  <w:abstractNum w:abstractNumId="27">
    <w:nsid w:val="48D0207A"/>
    <w:multiLevelType w:val="hybridMultilevel"/>
    <w:tmpl w:val="30C8D55E"/>
    <w:lvl w:ilvl="0" w:tplc="11403644">
      <w:numFmt w:val="bullet"/>
      <w:lvlText w:val="&gt;"/>
      <w:lvlJc w:val="left"/>
      <w:pPr>
        <w:ind w:left="532" w:hanging="383"/>
      </w:pPr>
      <w:rPr>
        <w:rFonts w:ascii="Verdana" w:eastAsia="Verdana" w:hAnsi="Verdana" w:cs="Verdana" w:hint="default"/>
        <w:b/>
        <w:bCs/>
        <w:color w:val="FFFFFF"/>
        <w:w w:val="102"/>
        <w:sz w:val="22"/>
        <w:szCs w:val="22"/>
      </w:rPr>
    </w:lvl>
    <w:lvl w:ilvl="1" w:tplc="40427FD8">
      <w:numFmt w:val="bullet"/>
      <w:lvlText w:val="•"/>
      <w:lvlJc w:val="left"/>
      <w:pPr>
        <w:ind w:left="1660" w:hanging="383"/>
      </w:pPr>
      <w:rPr>
        <w:rFonts w:hint="default"/>
      </w:rPr>
    </w:lvl>
    <w:lvl w:ilvl="2" w:tplc="FF98F904">
      <w:numFmt w:val="bullet"/>
      <w:lvlText w:val="•"/>
      <w:lvlJc w:val="left"/>
      <w:pPr>
        <w:ind w:left="2781" w:hanging="383"/>
      </w:pPr>
      <w:rPr>
        <w:rFonts w:hint="default"/>
      </w:rPr>
    </w:lvl>
    <w:lvl w:ilvl="3" w:tplc="B13CE604">
      <w:numFmt w:val="bullet"/>
      <w:lvlText w:val="•"/>
      <w:lvlJc w:val="left"/>
      <w:pPr>
        <w:ind w:left="3901" w:hanging="383"/>
      </w:pPr>
      <w:rPr>
        <w:rFonts w:hint="default"/>
      </w:rPr>
    </w:lvl>
    <w:lvl w:ilvl="4" w:tplc="D1F8BB66">
      <w:numFmt w:val="bullet"/>
      <w:lvlText w:val="•"/>
      <w:lvlJc w:val="left"/>
      <w:pPr>
        <w:ind w:left="5022" w:hanging="383"/>
      </w:pPr>
      <w:rPr>
        <w:rFonts w:hint="default"/>
      </w:rPr>
    </w:lvl>
    <w:lvl w:ilvl="5" w:tplc="F0CEA76E">
      <w:numFmt w:val="bullet"/>
      <w:lvlText w:val="•"/>
      <w:lvlJc w:val="left"/>
      <w:pPr>
        <w:ind w:left="6142" w:hanging="383"/>
      </w:pPr>
      <w:rPr>
        <w:rFonts w:hint="default"/>
      </w:rPr>
    </w:lvl>
    <w:lvl w:ilvl="6" w:tplc="92F41F98">
      <w:numFmt w:val="bullet"/>
      <w:lvlText w:val="•"/>
      <w:lvlJc w:val="left"/>
      <w:pPr>
        <w:ind w:left="7263" w:hanging="383"/>
      </w:pPr>
      <w:rPr>
        <w:rFonts w:hint="default"/>
      </w:rPr>
    </w:lvl>
    <w:lvl w:ilvl="7" w:tplc="73F88F28">
      <w:numFmt w:val="bullet"/>
      <w:lvlText w:val="•"/>
      <w:lvlJc w:val="left"/>
      <w:pPr>
        <w:ind w:left="8383" w:hanging="383"/>
      </w:pPr>
      <w:rPr>
        <w:rFonts w:hint="default"/>
      </w:rPr>
    </w:lvl>
    <w:lvl w:ilvl="8" w:tplc="8528C418">
      <w:numFmt w:val="bullet"/>
      <w:lvlText w:val="•"/>
      <w:lvlJc w:val="left"/>
      <w:pPr>
        <w:ind w:left="9504" w:hanging="383"/>
      </w:pPr>
      <w:rPr>
        <w:rFonts w:hint="default"/>
      </w:rPr>
    </w:lvl>
  </w:abstractNum>
  <w:abstractNum w:abstractNumId="28">
    <w:nsid w:val="492838A2"/>
    <w:multiLevelType w:val="hybridMultilevel"/>
    <w:tmpl w:val="C9C894E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70D8B"/>
    <w:multiLevelType w:val="hybridMultilevel"/>
    <w:tmpl w:val="6E9CE4AC"/>
    <w:lvl w:ilvl="0" w:tplc="174C4328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0">
    <w:nsid w:val="50C674DA"/>
    <w:multiLevelType w:val="hybridMultilevel"/>
    <w:tmpl w:val="F37C6624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7D03F1"/>
    <w:multiLevelType w:val="hybridMultilevel"/>
    <w:tmpl w:val="B1046D12"/>
    <w:lvl w:ilvl="0" w:tplc="174C4328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2">
    <w:nsid w:val="65F418E5"/>
    <w:multiLevelType w:val="multilevel"/>
    <w:tmpl w:val="579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9680E"/>
    <w:multiLevelType w:val="hybridMultilevel"/>
    <w:tmpl w:val="ED1E30CC"/>
    <w:lvl w:ilvl="0" w:tplc="BF1E6F6C">
      <w:numFmt w:val="bullet"/>
      <w:lvlText w:val=""/>
      <w:lvlJc w:val="left"/>
      <w:pPr>
        <w:ind w:left="349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>
    <w:nsid w:val="6EF8002C"/>
    <w:multiLevelType w:val="hybridMultilevel"/>
    <w:tmpl w:val="03F2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D800C6"/>
    <w:multiLevelType w:val="hybridMultilevel"/>
    <w:tmpl w:val="B8481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D2B4D"/>
    <w:multiLevelType w:val="hybridMultilevel"/>
    <w:tmpl w:val="CCCE77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8451B"/>
    <w:multiLevelType w:val="multilevel"/>
    <w:tmpl w:val="D72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F1273B"/>
    <w:multiLevelType w:val="hybridMultilevel"/>
    <w:tmpl w:val="939659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6"/>
  </w:num>
  <w:num w:numId="5">
    <w:abstractNumId w:val="21"/>
  </w:num>
  <w:num w:numId="6">
    <w:abstractNumId w:val="24"/>
  </w:num>
  <w:num w:numId="7">
    <w:abstractNumId w:val="37"/>
  </w:num>
  <w:num w:numId="8">
    <w:abstractNumId w:val="14"/>
  </w:num>
  <w:num w:numId="9">
    <w:abstractNumId w:val="33"/>
  </w:num>
  <w:num w:numId="10">
    <w:abstractNumId w:val="23"/>
  </w:num>
  <w:num w:numId="11">
    <w:abstractNumId w:val="20"/>
  </w:num>
  <w:num w:numId="12">
    <w:abstractNumId w:val="11"/>
  </w:num>
  <w:num w:numId="13">
    <w:abstractNumId w:val="35"/>
  </w:num>
  <w:num w:numId="14">
    <w:abstractNumId w:val="31"/>
  </w:num>
  <w:num w:numId="15">
    <w:abstractNumId w:val="29"/>
  </w:num>
  <w:num w:numId="16">
    <w:abstractNumId w:val="22"/>
  </w:num>
  <w:num w:numId="17">
    <w:abstractNumId w:val="1"/>
  </w:num>
  <w:num w:numId="18">
    <w:abstractNumId w:val="17"/>
  </w:num>
  <w:num w:numId="19">
    <w:abstractNumId w:val="28"/>
  </w:num>
  <w:num w:numId="20">
    <w:abstractNumId w:val="10"/>
  </w:num>
  <w:num w:numId="21">
    <w:abstractNumId w:val="36"/>
  </w:num>
  <w:num w:numId="22">
    <w:abstractNumId w:val="30"/>
  </w:num>
  <w:num w:numId="23">
    <w:abstractNumId w:val="2"/>
  </w:num>
  <w:num w:numId="24">
    <w:abstractNumId w:val="8"/>
  </w:num>
  <w:num w:numId="25">
    <w:abstractNumId w:val="12"/>
  </w:num>
  <w:num w:numId="26">
    <w:abstractNumId w:val="3"/>
  </w:num>
  <w:num w:numId="27">
    <w:abstractNumId w:val="38"/>
  </w:num>
  <w:num w:numId="28">
    <w:abstractNumId w:val="15"/>
  </w:num>
  <w:num w:numId="29">
    <w:abstractNumId w:val="32"/>
  </w:num>
  <w:num w:numId="30">
    <w:abstractNumId w:val="0"/>
  </w:num>
  <w:num w:numId="31">
    <w:abstractNumId w:val="25"/>
  </w:num>
  <w:num w:numId="32">
    <w:abstractNumId w:val="34"/>
  </w:num>
  <w:num w:numId="33">
    <w:abstractNumId w:val="4"/>
  </w:num>
  <w:num w:numId="34">
    <w:abstractNumId w:val="19"/>
  </w:num>
  <w:num w:numId="35">
    <w:abstractNumId w:val="9"/>
  </w:num>
  <w:num w:numId="36">
    <w:abstractNumId w:val="13"/>
  </w:num>
  <w:num w:numId="37">
    <w:abstractNumId w:val="6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8"/>
    <w:rsid w:val="00000C81"/>
    <w:rsid w:val="00004497"/>
    <w:rsid w:val="0001461C"/>
    <w:rsid w:val="0001464F"/>
    <w:rsid w:val="00021677"/>
    <w:rsid w:val="000220EB"/>
    <w:rsid w:val="00036977"/>
    <w:rsid w:val="0004012F"/>
    <w:rsid w:val="0007252F"/>
    <w:rsid w:val="00080DDE"/>
    <w:rsid w:val="00083B52"/>
    <w:rsid w:val="00093EEF"/>
    <w:rsid w:val="000D05E2"/>
    <w:rsid w:val="000E2ED6"/>
    <w:rsid w:val="000F3A05"/>
    <w:rsid w:val="000F64F2"/>
    <w:rsid w:val="00121E5A"/>
    <w:rsid w:val="00123A6D"/>
    <w:rsid w:val="00126ECC"/>
    <w:rsid w:val="0013058F"/>
    <w:rsid w:val="00145246"/>
    <w:rsid w:val="001547FD"/>
    <w:rsid w:val="00156F3C"/>
    <w:rsid w:val="00173582"/>
    <w:rsid w:val="00176E77"/>
    <w:rsid w:val="0018594E"/>
    <w:rsid w:val="001A4ACD"/>
    <w:rsid w:val="001F79B7"/>
    <w:rsid w:val="002022D0"/>
    <w:rsid w:val="00210258"/>
    <w:rsid w:val="002106D3"/>
    <w:rsid w:val="002212A0"/>
    <w:rsid w:val="00223B14"/>
    <w:rsid w:val="002425F5"/>
    <w:rsid w:val="002434CC"/>
    <w:rsid w:val="002463F2"/>
    <w:rsid w:val="00256B57"/>
    <w:rsid w:val="00260898"/>
    <w:rsid w:val="00274C8F"/>
    <w:rsid w:val="00277DD2"/>
    <w:rsid w:val="00291A06"/>
    <w:rsid w:val="002959E2"/>
    <w:rsid w:val="002A6F06"/>
    <w:rsid w:val="002C3483"/>
    <w:rsid w:val="002C5D83"/>
    <w:rsid w:val="002D370F"/>
    <w:rsid w:val="002E0635"/>
    <w:rsid w:val="002F5EF7"/>
    <w:rsid w:val="00307CED"/>
    <w:rsid w:val="00315264"/>
    <w:rsid w:val="00331986"/>
    <w:rsid w:val="00332424"/>
    <w:rsid w:val="00355166"/>
    <w:rsid w:val="003A74AF"/>
    <w:rsid w:val="003B771B"/>
    <w:rsid w:val="003C2937"/>
    <w:rsid w:val="003D028C"/>
    <w:rsid w:val="003D2844"/>
    <w:rsid w:val="003D4D69"/>
    <w:rsid w:val="003E6C60"/>
    <w:rsid w:val="003F1422"/>
    <w:rsid w:val="00410972"/>
    <w:rsid w:val="00411081"/>
    <w:rsid w:val="00417F21"/>
    <w:rsid w:val="00426B2E"/>
    <w:rsid w:val="00432B59"/>
    <w:rsid w:val="00454F0E"/>
    <w:rsid w:val="00455580"/>
    <w:rsid w:val="0046662C"/>
    <w:rsid w:val="00466D3D"/>
    <w:rsid w:val="00472C96"/>
    <w:rsid w:val="00482FA8"/>
    <w:rsid w:val="00494D13"/>
    <w:rsid w:val="004A56F6"/>
    <w:rsid w:val="004A678E"/>
    <w:rsid w:val="004B16C7"/>
    <w:rsid w:val="004C545D"/>
    <w:rsid w:val="004D0137"/>
    <w:rsid w:val="004D564B"/>
    <w:rsid w:val="004D59CC"/>
    <w:rsid w:val="004E2E4F"/>
    <w:rsid w:val="004E330B"/>
    <w:rsid w:val="00500E62"/>
    <w:rsid w:val="005015C6"/>
    <w:rsid w:val="00501A0C"/>
    <w:rsid w:val="005177C7"/>
    <w:rsid w:val="005216ED"/>
    <w:rsid w:val="00534F9F"/>
    <w:rsid w:val="00540999"/>
    <w:rsid w:val="00541470"/>
    <w:rsid w:val="005474D0"/>
    <w:rsid w:val="005542F8"/>
    <w:rsid w:val="0055577C"/>
    <w:rsid w:val="00572B35"/>
    <w:rsid w:val="00574D11"/>
    <w:rsid w:val="005822A6"/>
    <w:rsid w:val="005858E1"/>
    <w:rsid w:val="00587AEC"/>
    <w:rsid w:val="00594831"/>
    <w:rsid w:val="005A6759"/>
    <w:rsid w:val="005E0397"/>
    <w:rsid w:val="005F1198"/>
    <w:rsid w:val="005F4B74"/>
    <w:rsid w:val="00606919"/>
    <w:rsid w:val="00612F96"/>
    <w:rsid w:val="00625037"/>
    <w:rsid w:val="00632C6A"/>
    <w:rsid w:val="0066772C"/>
    <w:rsid w:val="00681950"/>
    <w:rsid w:val="00690DC8"/>
    <w:rsid w:val="0069619B"/>
    <w:rsid w:val="006B06B0"/>
    <w:rsid w:val="006C02D5"/>
    <w:rsid w:val="006C30EF"/>
    <w:rsid w:val="006C5B2F"/>
    <w:rsid w:val="006C652F"/>
    <w:rsid w:val="006D09C9"/>
    <w:rsid w:val="007374C4"/>
    <w:rsid w:val="00737671"/>
    <w:rsid w:val="00737B2A"/>
    <w:rsid w:val="00747409"/>
    <w:rsid w:val="00757E27"/>
    <w:rsid w:val="0076359E"/>
    <w:rsid w:val="00764A28"/>
    <w:rsid w:val="00781867"/>
    <w:rsid w:val="007A438B"/>
    <w:rsid w:val="007A5905"/>
    <w:rsid w:val="007B1359"/>
    <w:rsid w:val="007B1930"/>
    <w:rsid w:val="007C14A4"/>
    <w:rsid w:val="007C4F66"/>
    <w:rsid w:val="007D37A8"/>
    <w:rsid w:val="007E073B"/>
    <w:rsid w:val="007F07D2"/>
    <w:rsid w:val="007F24C9"/>
    <w:rsid w:val="007F3B7D"/>
    <w:rsid w:val="00814BBD"/>
    <w:rsid w:val="00817CBC"/>
    <w:rsid w:val="00824136"/>
    <w:rsid w:val="00832A23"/>
    <w:rsid w:val="00840055"/>
    <w:rsid w:val="00843BDB"/>
    <w:rsid w:val="0084733A"/>
    <w:rsid w:val="008603B5"/>
    <w:rsid w:val="00870C59"/>
    <w:rsid w:val="00874296"/>
    <w:rsid w:val="00892B56"/>
    <w:rsid w:val="00897994"/>
    <w:rsid w:val="008B3A46"/>
    <w:rsid w:val="008D4216"/>
    <w:rsid w:val="008D73E0"/>
    <w:rsid w:val="008F1356"/>
    <w:rsid w:val="008F2AE5"/>
    <w:rsid w:val="008F3C0E"/>
    <w:rsid w:val="009056EA"/>
    <w:rsid w:val="00920EA5"/>
    <w:rsid w:val="009267D3"/>
    <w:rsid w:val="00926F14"/>
    <w:rsid w:val="00930DCF"/>
    <w:rsid w:val="00951C9B"/>
    <w:rsid w:val="00952225"/>
    <w:rsid w:val="00957B2F"/>
    <w:rsid w:val="00970874"/>
    <w:rsid w:val="00987271"/>
    <w:rsid w:val="0099715D"/>
    <w:rsid w:val="009A0A21"/>
    <w:rsid w:val="009A743D"/>
    <w:rsid w:val="009B5481"/>
    <w:rsid w:val="009C404F"/>
    <w:rsid w:val="009C561E"/>
    <w:rsid w:val="009C5F15"/>
    <w:rsid w:val="009E1840"/>
    <w:rsid w:val="009E7C8D"/>
    <w:rsid w:val="00A20C86"/>
    <w:rsid w:val="00A57457"/>
    <w:rsid w:val="00A71D55"/>
    <w:rsid w:val="00A7262B"/>
    <w:rsid w:val="00A726B8"/>
    <w:rsid w:val="00A733DB"/>
    <w:rsid w:val="00AA283A"/>
    <w:rsid w:val="00AA6AFE"/>
    <w:rsid w:val="00AC2A03"/>
    <w:rsid w:val="00AC3F5F"/>
    <w:rsid w:val="00AC6F53"/>
    <w:rsid w:val="00AD7F44"/>
    <w:rsid w:val="00AF5B5F"/>
    <w:rsid w:val="00B11505"/>
    <w:rsid w:val="00B34D2E"/>
    <w:rsid w:val="00B42944"/>
    <w:rsid w:val="00B5303C"/>
    <w:rsid w:val="00B55442"/>
    <w:rsid w:val="00B63B4E"/>
    <w:rsid w:val="00B71377"/>
    <w:rsid w:val="00B766F4"/>
    <w:rsid w:val="00B87A7B"/>
    <w:rsid w:val="00BA5EF6"/>
    <w:rsid w:val="00BA6115"/>
    <w:rsid w:val="00BA68A1"/>
    <w:rsid w:val="00BB2281"/>
    <w:rsid w:val="00BB635E"/>
    <w:rsid w:val="00BC019E"/>
    <w:rsid w:val="00BD5EC4"/>
    <w:rsid w:val="00BE0205"/>
    <w:rsid w:val="00BF2C35"/>
    <w:rsid w:val="00C10100"/>
    <w:rsid w:val="00C27E3D"/>
    <w:rsid w:val="00C57890"/>
    <w:rsid w:val="00C84021"/>
    <w:rsid w:val="00C85655"/>
    <w:rsid w:val="00C878BB"/>
    <w:rsid w:val="00C934B3"/>
    <w:rsid w:val="00CC3D1A"/>
    <w:rsid w:val="00CD1131"/>
    <w:rsid w:val="00CD2CA8"/>
    <w:rsid w:val="00CE5FFD"/>
    <w:rsid w:val="00CE788A"/>
    <w:rsid w:val="00CF721A"/>
    <w:rsid w:val="00D05313"/>
    <w:rsid w:val="00D10EAC"/>
    <w:rsid w:val="00D1757B"/>
    <w:rsid w:val="00D24B81"/>
    <w:rsid w:val="00D255A9"/>
    <w:rsid w:val="00D2626D"/>
    <w:rsid w:val="00D27F30"/>
    <w:rsid w:val="00D3067E"/>
    <w:rsid w:val="00D31A7E"/>
    <w:rsid w:val="00D728B9"/>
    <w:rsid w:val="00D72B86"/>
    <w:rsid w:val="00DB3330"/>
    <w:rsid w:val="00DD5E62"/>
    <w:rsid w:val="00DE0005"/>
    <w:rsid w:val="00DF535D"/>
    <w:rsid w:val="00E12D3C"/>
    <w:rsid w:val="00E20EA4"/>
    <w:rsid w:val="00E559CD"/>
    <w:rsid w:val="00E6496C"/>
    <w:rsid w:val="00EA3AC4"/>
    <w:rsid w:val="00EA5823"/>
    <w:rsid w:val="00EE076C"/>
    <w:rsid w:val="00EE6451"/>
    <w:rsid w:val="00EF48CF"/>
    <w:rsid w:val="00EF7F28"/>
    <w:rsid w:val="00F13145"/>
    <w:rsid w:val="00F163F6"/>
    <w:rsid w:val="00F44E81"/>
    <w:rsid w:val="00F514E4"/>
    <w:rsid w:val="00F64D67"/>
    <w:rsid w:val="00F75818"/>
    <w:rsid w:val="00F8409C"/>
    <w:rsid w:val="00FA6BAA"/>
    <w:rsid w:val="00FC3253"/>
    <w:rsid w:val="00FD5E21"/>
    <w:rsid w:val="00FE5BB8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E4F"/>
    <w:pPr>
      <w:widowControl w:val="0"/>
      <w:autoSpaceDE w:val="0"/>
      <w:autoSpaceDN w:val="0"/>
      <w:spacing w:after="0" w:line="240" w:lineRule="auto"/>
    </w:pPr>
    <w:rPr>
      <w:rFonts w:ascii="Gill Sans MT" w:eastAsia="Verdana" w:hAnsi="Gill Sans MT" w:cs="Verdana"/>
      <w:sz w:val="18"/>
    </w:rPr>
  </w:style>
  <w:style w:type="paragraph" w:styleId="Titre1">
    <w:name w:val="heading 1"/>
    <w:basedOn w:val="Normal"/>
    <w:link w:val="Titre1Car"/>
    <w:uiPriority w:val="1"/>
    <w:qFormat/>
    <w:rsid w:val="004E2E4F"/>
    <w:pPr>
      <w:widowControl/>
      <w:shd w:val="clear" w:color="auto" w:fill="002060"/>
      <w:adjustRightInd w:val="0"/>
      <w:outlineLvl w:val="0"/>
    </w:pPr>
    <w:rPr>
      <w:rFonts w:eastAsiaTheme="minorHAnsi" w:cs="Arial-BoldMT"/>
      <w:b/>
      <w:bCs/>
      <w:color w:val="FFFFFF" w:themeColor="background1"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987271"/>
    <w:pPr>
      <w:widowControl/>
      <w:adjustRightInd w:val="0"/>
      <w:spacing w:before="120" w:after="60"/>
      <w:outlineLvl w:val="1"/>
    </w:pPr>
    <w:rPr>
      <w:rFonts w:eastAsiaTheme="minorHAnsi" w:cs="ArialMT"/>
      <w:b/>
      <w:color w:val="E36C0A" w:themeColor="accent6" w:themeShade="BF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2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2F8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F8"/>
    <w:rPr>
      <w:rFonts w:ascii="Tahoma" w:eastAsia="Verdan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4E2E4F"/>
    <w:rPr>
      <w:rFonts w:ascii="Gill Sans MT" w:hAnsi="Gill Sans MT" w:cs="Arial-BoldMT"/>
      <w:b/>
      <w:bCs/>
      <w:color w:val="FFFFFF" w:themeColor="background1"/>
      <w:sz w:val="24"/>
      <w:szCs w:val="24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1"/>
    <w:rsid w:val="00987271"/>
    <w:rPr>
      <w:rFonts w:ascii="Gill Sans MT" w:hAnsi="Gill Sans MT" w:cs="ArialMT"/>
      <w:b/>
      <w:color w:val="E36C0A" w:themeColor="accent6" w:themeShade="BF"/>
      <w:sz w:val="18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542F8"/>
    <w:rPr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5542F8"/>
    <w:rPr>
      <w:rFonts w:ascii="Verdana" w:eastAsia="Verdana" w:hAnsi="Verdana" w:cs="Verdana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0F64F2"/>
    <w:pPr>
      <w:widowControl/>
      <w:numPr>
        <w:numId w:val="16"/>
      </w:numPr>
      <w:adjustRightInd w:val="0"/>
    </w:pPr>
    <w:rPr>
      <w:rFonts w:cstheme="minorHAnsi"/>
      <w:w w:val="105"/>
      <w:szCs w:val="18"/>
    </w:rPr>
  </w:style>
  <w:style w:type="paragraph" w:customStyle="1" w:styleId="TableParagraph">
    <w:name w:val="Table Paragraph"/>
    <w:basedOn w:val="Normal"/>
    <w:uiPriority w:val="1"/>
    <w:qFormat/>
    <w:rsid w:val="00455580"/>
  </w:style>
  <w:style w:type="table" w:customStyle="1" w:styleId="TableNormal">
    <w:name w:val="Table Normal"/>
    <w:uiPriority w:val="2"/>
    <w:semiHidden/>
    <w:unhideWhenUsed/>
    <w:qFormat/>
    <w:rsid w:val="00920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B13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D28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B06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E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E3D"/>
    <w:rPr>
      <w:rFonts w:ascii="Verdana" w:eastAsia="Verdana" w:hAnsi="Verdana" w:cs="Verdana"/>
      <w:sz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27E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E3D"/>
    <w:rPr>
      <w:rFonts w:ascii="Verdana" w:eastAsia="Verdana" w:hAnsi="Verdana" w:cs="Verdana"/>
      <w:sz w:val="16"/>
      <w:lang w:val="en-US"/>
    </w:rPr>
  </w:style>
  <w:style w:type="paragraph" w:styleId="Sansinterligne">
    <w:name w:val="No Spacing"/>
    <w:link w:val="SansinterligneCar"/>
    <w:uiPriority w:val="1"/>
    <w:qFormat/>
    <w:rsid w:val="0066772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772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0874"/>
    <w:pPr>
      <w:keepNext/>
      <w:keepLines/>
      <w:shd w:val="clear" w:color="auto" w:fill="auto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70874"/>
    <w:pPr>
      <w:tabs>
        <w:tab w:val="right" w:leader="dot" w:pos="10762"/>
      </w:tabs>
      <w:contextualSpacing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97087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7087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56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E073B"/>
    <w:rPr>
      <w:b/>
      <w:bCs/>
    </w:rPr>
  </w:style>
  <w:style w:type="character" w:customStyle="1" w:styleId="texte-normal">
    <w:name w:val="texte-normal"/>
    <w:basedOn w:val="Policepardfaut"/>
    <w:rsid w:val="007E073B"/>
  </w:style>
  <w:style w:type="character" w:customStyle="1" w:styleId="element-invisible">
    <w:name w:val="element-invisible"/>
    <w:basedOn w:val="Policepardfaut"/>
    <w:rsid w:val="007E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E4F"/>
    <w:pPr>
      <w:widowControl w:val="0"/>
      <w:autoSpaceDE w:val="0"/>
      <w:autoSpaceDN w:val="0"/>
      <w:spacing w:after="0" w:line="240" w:lineRule="auto"/>
    </w:pPr>
    <w:rPr>
      <w:rFonts w:ascii="Gill Sans MT" w:eastAsia="Verdana" w:hAnsi="Gill Sans MT" w:cs="Verdana"/>
      <w:sz w:val="18"/>
    </w:rPr>
  </w:style>
  <w:style w:type="paragraph" w:styleId="Titre1">
    <w:name w:val="heading 1"/>
    <w:basedOn w:val="Normal"/>
    <w:link w:val="Titre1Car"/>
    <w:uiPriority w:val="1"/>
    <w:qFormat/>
    <w:rsid w:val="004E2E4F"/>
    <w:pPr>
      <w:widowControl/>
      <w:shd w:val="clear" w:color="auto" w:fill="002060"/>
      <w:adjustRightInd w:val="0"/>
      <w:outlineLvl w:val="0"/>
    </w:pPr>
    <w:rPr>
      <w:rFonts w:eastAsiaTheme="minorHAnsi" w:cs="Arial-BoldMT"/>
      <w:b/>
      <w:bCs/>
      <w:color w:val="FFFFFF" w:themeColor="background1"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987271"/>
    <w:pPr>
      <w:widowControl/>
      <w:adjustRightInd w:val="0"/>
      <w:spacing w:before="120" w:after="60"/>
      <w:outlineLvl w:val="1"/>
    </w:pPr>
    <w:rPr>
      <w:rFonts w:eastAsiaTheme="minorHAnsi" w:cs="ArialMT"/>
      <w:b/>
      <w:color w:val="E36C0A" w:themeColor="accent6" w:themeShade="BF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2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2F8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F8"/>
    <w:rPr>
      <w:rFonts w:ascii="Tahoma" w:eastAsia="Verdan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4E2E4F"/>
    <w:rPr>
      <w:rFonts w:ascii="Gill Sans MT" w:hAnsi="Gill Sans MT" w:cs="Arial-BoldMT"/>
      <w:b/>
      <w:bCs/>
      <w:color w:val="FFFFFF" w:themeColor="background1"/>
      <w:sz w:val="24"/>
      <w:szCs w:val="24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1"/>
    <w:rsid w:val="00987271"/>
    <w:rPr>
      <w:rFonts w:ascii="Gill Sans MT" w:hAnsi="Gill Sans MT" w:cs="ArialMT"/>
      <w:b/>
      <w:color w:val="E36C0A" w:themeColor="accent6" w:themeShade="BF"/>
      <w:sz w:val="18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542F8"/>
    <w:rPr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5542F8"/>
    <w:rPr>
      <w:rFonts w:ascii="Verdana" w:eastAsia="Verdana" w:hAnsi="Verdana" w:cs="Verdana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0F64F2"/>
    <w:pPr>
      <w:widowControl/>
      <w:numPr>
        <w:numId w:val="16"/>
      </w:numPr>
      <w:adjustRightInd w:val="0"/>
    </w:pPr>
    <w:rPr>
      <w:rFonts w:cstheme="minorHAnsi"/>
      <w:w w:val="105"/>
      <w:szCs w:val="18"/>
    </w:rPr>
  </w:style>
  <w:style w:type="paragraph" w:customStyle="1" w:styleId="TableParagraph">
    <w:name w:val="Table Paragraph"/>
    <w:basedOn w:val="Normal"/>
    <w:uiPriority w:val="1"/>
    <w:qFormat/>
    <w:rsid w:val="00455580"/>
  </w:style>
  <w:style w:type="table" w:customStyle="1" w:styleId="TableNormal">
    <w:name w:val="Table Normal"/>
    <w:uiPriority w:val="2"/>
    <w:semiHidden/>
    <w:unhideWhenUsed/>
    <w:qFormat/>
    <w:rsid w:val="00920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B13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D28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B06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E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E3D"/>
    <w:rPr>
      <w:rFonts w:ascii="Verdana" w:eastAsia="Verdana" w:hAnsi="Verdana" w:cs="Verdana"/>
      <w:sz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27E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E3D"/>
    <w:rPr>
      <w:rFonts w:ascii="Verdana" w:eastAsia="Verdana" w:hAnsi="Verdana" w:cs="Verdana"/>
      <w:sz w:val="16"/>
      <w:lang w:val="en-US"/>
    </w:rPr>
  </w:style>
  <w:style w:type="paragraph" w:styleId="Sansinterligne">
    <w:name w:val="No Spacing"/>
    <w:link w:val="SansinterligneCar"/>
    <w:uiPriority w:val="1"/>
    <w:qFormat/>
    <w:rsid w:val="0066772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772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0874"/>
    <w:pPr>
      <w:keepNext/>
      <w:keepLines/>
      <w:shd w:val="clear" w:color="auto" w:fill="auto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70874"/>
    <w:pPr>
      <w:tabs>
        <w:tab w:val="right" w:leader="dot" w:pos="10762"/>
      </w:tabs>
      <w:contextualSpacing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97087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7087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56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E073B"/>
    <w:rPr>
      <w:b/>
      <w:bCs/>
    </w:rPr>
  </w:style>
  <w:style w:type="character" w:customStyle="1" w:styleId="texte-normal">
    <w:name w:val="texte-normal"/>
    <w:basedOn w:val="Policepardfaut"/>
    <w:rsid w:val="007E073B"/>
  </w:style>
  <w:style w:type="character" w:customStyle="1" w:styleId="element-invisible">
    <w:name w:val="element-invisible"/>
    <w:basedOn w:val="Policepardfaut"/>
    <w:rsid w:val="007E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3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ributionsFP@ocapiat.f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apiat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capia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52AE-8389-47CB-9A88-76D4EAD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vallee</dc:creator>
  <cp:lastModifiedBy>Régis Lefort</cp:lastModifiedBy>
  <cp:revision>5</cp:revision>
  <cp:lastPrinted>2020-09-28T17:21:00Z</cp:lastPrinted>
  <dcterms:created xsi:type="dcterms:W3CDTF">2020-09-28T13:01:00Z</dcterms:created>
  <dcterms:modified xsi:type="dcterms:W3CDTF">2020-09-29T07:19:00Z</dcterms:modified>
</cp:coreProperties>
</file>